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9B177" w14:textId="0ECB2E50" w:rsidR="006C4DB7" w:rsidRPr="006C4DB7" w:rsidRDefault="006C4DB7" w:rsidP="007E6A60">
      <w:pPr>
        <w:pStyle w:val="BodyTextIndent"/>
        <w:spacing w:after="120"/>
        <w:ind w:left="0" w:firstLine="0"/>
        <w:rPr>
          <w:rFonts w:ascii="Swis721 Md BT" w:hAnsi="Swis721 Md BT" w:cs="Arial"/>
          <w:sz w:val="28"/>
          <w:szCs w:val="28"/>
          <w:highlight w:val="yellow"/>
        </w:rPr>
      </w:pPr>
      <w:r w:rsidRPr="3CA09D0B">
        <w:rPr>
          <w:rFonts w:ascii="Swis721 Md BT" w:hAnsi="Swis721 Md BT" w:cs="Arial"/>
          <w:sz w:val="28"/>
          <w:szCs w:val="28"/>
        </w:rPr>
        <w:t xml:space="preserve">School District Disclosure Checklist </w:t>
      </w:r>
      <w:r w:rsidRPr="3CA09D0B">
        <w:rPr>
          <w:rFonts w:ascii="Swis721 Md BT" w:hAnsi="Swis721 Md BT" w:cs="Arial"/>
          <w:sz w:val="28"/>
          <w:szCs w:val="28"/>
          <w:highlight w:val="yellow"/>
        </w:rPr>
        <w:t>20</w:t>
      </w:r>
      <w:r w:rsidR="007F6743" w:rsidRPr="3CA09D0B">
        <w:rPr>
          <w:rFonts w:ascii="Swis721 Md BT" w:hAnsi="Swis721 Md BT" w:cs="Arial"/>
          <w:sz w:val="28"/>
          <w:szCs w:val="28"/>
          <w:highlight w:val="yellow"/>
        </w:rPr>
        <w:t>2</w:t>
      </w:r>
      <w:r w:rsidR="00B43338">
        <w:rPr>
          <w:rFonts w:ascii="Swis721 Md BT" w:hAnsi="Swis721 Md BT" w:cs="Arial"/>
          <w:sz w:val="28"/>
          <w:szCs w:val="28"/>
          <w:highlight w:val="yellow"/>
        </w:rPr>
        <w:t>3</w:t>
      </w:r>
    </w:p>
    <w:p w14:paraId="700D62E5" w14:textId="39147AFE" w:rsidR="00CA011E" w:rsidRDefault="00CA011E" w:rsidP="007E6A60">
      <w:pPr>
        <w:pStyle w:val="BodyTextIndent"/>
        <w:spacing w:after="120"/>
        <w:ind w:left="0" w:firstLine="0"/>
        <w:rPr>
          <w:rFonts w:cs="Arial"/>
          <w:szCs w:val="24"/>
        </w:rPr>
      </w:pPr>
      <w:r w:rsidRPr="00D2583B">
        <w:rPr>
          <w:rFonts w:cs="Arial"/>
          <w:szCs w:val="24"/>
        </w:rPr>
        <w:t xml:space="preserve">This checklist is a tool to help ensure that </w:t>
      </w:r>
      <w:r w:rsidR="00B4523F">
        <w:rPr>
          <w:rFonts w:cs="Arial"/>
          <w:szCs w:val="24"/>
        </w:rPr>
        <w:t>the district has</w:t>
      </w:r>
      <w:r w:rsidRPr="00D2583B">
        <w:rPr>
          <w:rFonts w:cs="Arial"/>
          <w:szCs w:val="24"/>
        </w:rPr>
        <w:t xml:space="preserve"> provided complete disclosure.</w:t>
      </w:r>
      <w:r w:rsidR="00A01E75" w:rsidRPr="00D2583B">
        <w:rPr>
          <w:rFonts w:cs="Arial"/>
          <w:szCs w:val="24"/>
        </w:rPr>
        <w:t xml:space="preserve"> </w:t>
      </w:r>
      <w:r w:rsidRPr="00D2583B">
        <w:rPr>
          <w:rFonts w:cs="Arial"/>
          <w:szCs w:val="24"/>
        </w:rPr>
        <w:t>It is not all-inclusive or intended to replace professional judgment in determining disclosures necessary for fair presentation.</w:t>
      </w:r>
      <w:r w:rsidR="00A01E75" w:rsidRPr="00D2583B">
        <w:rPr>
          <w:rFonts w:cs="Arial"/>
          <w:szCs w:val="24"/>
        </w:rPr>
        <w:t xml:space="preserve"> </w:t>
      </w:r>
      <w:r w:rsidRPr="00D2583B">
        <w:rPr>
          <w:rFonts w:cs="Arial"/>
          <w:szCs w:val="24"/>
        </w:rPr>
        <w:t>Remember, notes to financial statements should provide disclosure of material items that are not evident on the face of the statements but should not be cluttered with unnecessary and immaterial disclosures.</w:t>
      </w:r>
    </w:p>
    <w:p w14:paraId="66602BC6" w14:textId="3F8BBFA5" w:rsidR="008E115C" w:rsidRDefault="002F46CD" w:rsidP="007E6A60">
      <w:pPr>
        <w:pStyle w:val="BodyTextIndent"/>
        <w:spacing w:after="120"/>
        <w:ind w:left="0" w:firstLine="0"/>
        <w:rPr>
          <w:rFonts w:cs="Arial"/>
          <w:szCs w:val="24"/>
        </w:rPr>
      </w:pPr>
      <w:r w:rsidRPr="002F46CD">
        <w:rPr>
          <w:rFonts w:cs="Arial"/>
          <w:szCs w:val="24"/>
        </w:rPr>
        <w:t>Disclosure of accounting policies should identify and describe the accounting principles followed by the government and the methods of applying those principles that affect the determination of financial position and changes in financial position. In general, the disclosure should encompass important judgments as to appropriateness of principles relating to recognition of revenue and allocation of asset costs to current and future periods. (GASB Cod. §2300, ¶.113)</w:t>
      </w:r>
    </w:p>
    <w:p w14:paraId="6F43EA1E" w14:textId="77777777" w:rsidR="00D73C45" w:rsidRPr="00D2583B" w:rsidRDefault="00D73C45" w:rsidP="00B3321E">
      <w:pPr>
        <w:pStyle w:val="BodyTextIndent"/>
        <w:spacing w:after="120"/>
        <w:ind w:left="0" w:firstLine="0"/>
        <w:jc w:val="both"/>
        <w:rPr>
          <w:rFonts w:cs="Arial"/>
          <w:szCs w:val="24"/>
        </w:rPr>
      </w:pPr>
    </w:p>
    <w:p w14:paraId="700D62E6" w14:textId="37A8AA25" w:rsidR="00851467" w:rsidRPr="000B3B55" w:rsidRDefault="00851467" w:rsidP="00FD0CF5">
      <w:pPr>
        <w:pStyle w:val="Heading1"/>
        <w:jc w:val="left"/>
      </w:pPr>
      <w:r w:rsidRPr="000B3B55">
        <w:t xml:space="preserve">Summary of significant accounting policies (including </w:t>
      </w:r>
      <w:r w:rsidR="00FB52AF">
        <w:t xml:space="preserve">any </w:t>
      </w:r>
      <w:r w:rsidRPr="000B3B55">
        <w:t>departures from GAAP)</w:t>
      </w:r>
    </w:p>
    <w:p w14:paraId="700D62E7" w14:textId="6396DA58"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 xml:space="preserve">Reporting entity </w:t>
      </w:r>
      <w:r w:rsidR="00503406" w:rsidRPr="00503406">
        <w:rPr>
          <w:rFonts w:cs="Arial"/>
          <w:szCs w:val="24"/>
        </w:rPr>
        <w:t>(GASB Cod. §§2300, ¶.106 and 2600)</w:t>
      </w:r>
      <w:r w:rsidR="00CD3A15">
        <w:rPr>
          <w:rFonts w:cs="Arial"/>
          <w:szCs w:val="24"/>
        </w:rPr>
        <w:t>,</w:t>
      </w:r>
      <w:r w:rsidR="00503406" w:rsidRPr="00503406">
        <w:rPr>
          <w:rFonts w:cs="Arial"/>
          <w:szCs w:val="24"/>
        </w:rPr>
        <w:t xml:space="preserve"> </w:t>
      </w:r>
      <w:r w:rsidRPr="00D2583B">
        <w:rPr>
          <w:rFonts w:cs="Arial"/>
          <w:szCs w:val="24"/>
        </w:rPr>
        <w:t>including</w:t>
      </w:r>
      <w:r w:rsidR="009D5D8E">
        <w:rPr>
          <w:rFonts w:cs="Arial"/>
          <w:szCs w:val="24"/>
        </w:rPr>
        <w:t>:</w:t>
      </w:r>
    </w:p>
    <w:p w14:paraId="700D62E8" w14:textId="085A2CBD" w:rsidR="00566C93"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Brief description of component units and their relationships to the primary government</w:t>
      </w:r>
      <w:r w:rsidR="00357A94">
        <w:rPr>
          <w:rFonts w:cs="Arial"/>
          <w:szCs w:val="24"/>
        </w:rPr>
        <w:t>.</w:t>
      </w:r>
    </w:p>
    <w:p w14:paraId="700D62E9" w14:textId="767EE4EC" w:rsidR="00FA7092" w:rsidRPr="00D2583B" w:rsidRDefault="00FA7092"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Rationale for including component units</w:t>
      </w:r>
      <w:r w:rsidR="00357A94">
        <w:rPr>
          <w:rFonts w:cs="Arial"/>
          <w:szCs w:val="24"/>
        </w:rPr>
        <w:t>.</w:t>
      </w:r>
      <w:r w:rsidRPr="00D2583B">
        <w:rPr>
          <w:rFonts w:cs="Arial"/>
          <w:szCs w:val="24"/>
        </w:rPr>
        <w:t xml:space="preserve"> </w:t>
      </w:r>
    </w:p>
    <w:p w14:paraId="700D62EA" w14:textId="357785E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How component units are reported (blended or </w:t>
      </w:r>
      <w:proofErr w:type="gramStart"/>
      <w:r w:rsidRPr="00D2583B">
        <w:rPr>
          <w:rFonts w:cs="Arial"/>
          <w:szCs w:val="24"/>
        </w:rPr>
        <w:t>discretely</w:t>
      </w:r>
      <w:proofErr w:type="gramEnd"/>
      <w:r w:rsidRPr="00D2583B">
        <w:rPr>
          <w:rFonts w:cs="Arial"/>
          <w:szCs w:val="24"/>
        </w:rPr>
        <w:t xml:space="preserve"> presented)</w:t>
      </w:r>
      <w:r w:rsidR="00357A94">
        <w:rPr>
          <w:rFonts w:cs="Arial"/>
          <w:szCs w:val="24"/>
        </w:rPr>
        <w:t>.</w:t>
      </w:r>
    </w:p>
    <w:p w14:paraId="700D62EB" w14:textId="5B911C3B"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Effect of component units with differing fiscal year</w:t>
      </w:r>
      <w:r w:rsidR="005940C7">
        <w:rPr>
          <w:rFonts w:cs="Arial"/>
          <w:szCs w:val="24"/>
        </w:rPr>
        <w:t>-</w:t>
      </w:r>
      <w:r w:rsidRPr="00D2583B">
        <w:rPr>
          <w:rFonts w:cs="Arial"/>
          <w:szCs w:val="24"/>
        </w:rPr>
        <w:t>ends</w:t>
      </w:r>
      <w:r w:rsidR="00357A94">
        <w:rPr>
          <w:rFonts w:cs="Arial"/>
          <w:szCs w:val="24"/>
        </w:rPr>
        <w:t>.</w:t>
      </w:r>
    </w:p>
    <w:p w14:paraId="195297DE" w14:textId="4A3C94B9" w:rsidR="009D5D8E"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How to obtain separate financial statements for individual component units</w:t>
      </w:r>
      <w:r w:rsidR="00357A94">
        <w:rPr>
          <w:rFonts w:cs="Arial"/>
          <w:szCs w:val="24"/>
        </w:rPr>
        <w:t>.</w:t>
      </w:r>
    </w:p>
    <w:p w14:paraId="700D62EC" w14:textId="639EBDB6" w:rsidR="00D71702" w:rsidRPr="00D2583B" w:rsidRDefault="009D5D8E" w:rsidP="007E6A60">
      <w:pPr>
        <w:pStyle w:val="BodyTextIndent2"/>
        <w:numPr>
          <w:ilvl w:val="1"/>
          <w:numId w:val="14"/>
        </w:numPr>
        <w:tabs>
          <w:tab w:val="left" w:pos="-6210"/>
        </w:tabs>
        <w:spacing w:after="120"/>
        <w:jc w:val="left"/>
        <w:outlineLvl w:val="1"/>
        <w:rPr>
          <w:rFonts w:cs="Arial"/>
          <w:szCs w:val="24"/>
        </w:rPr>
      </w:pPr>
      <w:r w:rsidRPr="009D5D8E">
        <w:rPr>
          <w:rFonts w:cs="Arial"/>
          <w:szCs w:val="24"/>
        </w:rPr>
        <w:t xml:space="preserve">For each major component unit, disclose the nature and </w:t>
      </w:r>
      <w:proofErr w:type="gramStart"/>
      <w:r w:rsidRPr="009D5D8E">
        <w:rPr>
          <w:rFonts w:cs="Arial"/>
          <w:szCs w:val="24"/>
        </w:rPr>
        <w:t>amount</w:t>
      </w:r>
      <w:proofErr w:type="gramEnd"/>
      <w:r w:rsidRPr="009D5D8E">
        <w:rPr>
          <w:rFonts w:cs="Arial"/>
          <w:szCs w:val="24"/>
        </w:rPr>
        <w:t xml:space="preserve"> of significant transactions with the </w:t>
      </w:r>
      <w:r w:rsidR="001A0142">
        <w:rPr>
          <w:rFonts w:cs="Arial"/>
          <w:szCs w:val="24"/>
        </w:rPr>
        <w:t>District</w:t>
      </w:r>
      <w:r w:rsidR="001A0142" w:rsidRPr="009D5D8E">
        <w:rPr>
          <w:rFonts w:cs="Arial"/>
          <w:szCs w:val="24"/>
        </w:rPr>
        <w:t xml:space="preserve"> </w:t>
      </w:r>
      <w:r w:rsidRPr="009D5D8E">
        <w:rPr>
          <w:rFonts w:cs="Arial"/>
          <w:szCs w:val="24"/>
        </w:rPr>
        <w:t>and other component units.  (GASB Cod. §2200, ¶.217)</w:t>
      </w:r>
    </w:p>
    <w:p w14:paraId="700D62ED" w14:textId="7A383DBE"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presentation</w:t>
      </w:r>
      <w:r w:rsidR="009C331B" w:rsidRPr="00D2583B">
        <w:rPr>
          <w:rFonts w:cs="Arial"/>
          <w:szCs w:val="24"/>
        </w:rPr>
        <w:t xml:space="preserve"> (GASB Cod. §2300</w:t>
      </w:r>
      <w:r w:rsidR="00503406">
        <w:rPr>
          <w:rFonts w:cs="Arial"/>
          <w:szCs w:val="24"/>
        </w:rPr>
        <w:t xml:space="preserve">, </w:t>
      </w:r>
      <w:r w:rsidR="00503406" w:rsidRPr="00D2583B">
        <w:rPr>
          <w:rFonts w:cs="Arial"/>
          <w:szCs w:val="24"/>
        </w:rPr>
        <w:t>¶</w:t>
      </w:r>
      <w:r w:rsidR="00503406">
        <w:rPr>
          <w:rFonts w:cs="Arial"/>
          <w:szCs w:val="24"/>
        </w:rPr>
        <w:t>.106</w:t>
      </w:r>
      <w:r w:rsidR="000E2E06" w:rsidRPr="00D2583B">
        <w:rPr>
          <w:rFonts w:cs="Arial"/>
          <w:szCs w:val="24"/>
        </w:rPr>
        <w:t>)</w:t>
      </w:r>
      <w:r w:rsidR="000E2E06" w:rsidRPr="001D0D94">
        <w:t>:</w:t>
      </w:r>
    </w:p>
    <w:p w14:paraId="700D62EE" w14:textId="27753E34"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Description of government-wide statements</w:t>
      </w:r>
      <w:r w:rsidR="00357A94">
        <w:rPr>
          <w:rFonts w:cs="Arial"/>
          <w:szCs w:val="24"/>
        </w:rPr>
        <w:t>.</w:t>
      </w:r>
      <w:r w:rsidRPr="00D2583B">
        <w:rPr>
          <w:rFonts w:cs="Arial"/>
          <w:szCs w:val="24"/>
        </w:rPr>
        <w:t xml:space="preserve"> </w:t>
      </w:r>
    </w:p>
    <w:p w14:paraId="700D62EF" w14:textId="5C9430DF" w:rsidR="00AF7300" w:rsidRPr="00AC4CC7" w:rsidRDefault="00AF7300" w:rsidP="007E6A60">
      <w:pPr>
        <w:pStyle w:val="BodyTextIndent2"/>
        <w:numPr>
          <w:ilvl w:val="1"/>
          <w:numId w:val="14"/>
        </w:numPr>
        <w:tabs>
          <w:tab w:val="left" w:pos="-6210"/>
        </w:tabs>
        <w:spacing w:after="120"/>
        <w:jc w:val="left"/>
        <w:outlineLvl w:val="1"/>
        <w:rPr>
          <w:rFonts w:cs="Arial"/>
          <w:szCs w:val="24"/>
        </w:rPr>
      </w:pPr>
      <w:r w:rsidRPr="00AC4CC7">
        <w:rPr>
          <w:rFonts w:cs="Arial"/>
          <w:szCs w:val="24"/>
        </w:rPr>
        <w:t>Descriptions of the activities accounted for in each of the following columns—major funds, internal service funds, and fiduciary fund types—presented in the basic financial statements.</w:t>
      </w:r>
      <w:r w:rsidR="00272EA9" w:rsidRPr="00AC4CC7">
        <w:rPr>
          <w:rFonts w:cs="Arial"/>
          <w:szCs w:val="24"/>
        </w:rPr>
        <w:t xml:space="preserve"> </w:t>
      </w:r>
      <w:r w:rsidR="00AC4CC7" w:rsidRPr="00AC4CC7">
        <w:rPr>
          <w:rFonts w:cs="Arial"/>
          <w:szCs w:val="24"/>
        </w:rPr>
        <w:t xml:space="preserve">Also, in the description for each major special revenue fund, identify the </w:t>
      </w:r>
      <w:r w:rsidR="00357A94">
        <w:rPr>
          <w:rFonts w:cs="Arial"/>
          <w:szCs w:val="24"/>
        </w:rPr>
        <w:t xml:space="preserve">fund’s </w:t>
      </w:r>
      <w:r w:rsidR="00AC4CC7" w:rsidRPr="00AC4CC7">
        <w:rPr>
          <w:rFonts w:cs="Arial"/>
          <w:szCs w:val="24"/>
        </w:rPr>
        <w:t xml:space="preserve">significant revenues and other resources. (GASB 54, ¶32). </w:t>
      </w:r>
      <w:proofErr w:type="gramStart"/>
      <w:r w:rsidR="00503406" w:rsidRPr="00AC4CC7">
        <w:rPr>
          <w:rFonts w:cs="Arial"/>
          <w:szCs w:val="24"/>
        </w:rPr>
        <w:t>With the exception of</w:t>
      </w:r>
      <w:proofErr w:type="gramEnd"/>
      <w:r w:rsidR="00503406" w:rsidRPr="00AC4CC7">
        <w:rPr>
          <w:rFonts w:cs="Arial"/>
          <w:szCs w:val="24"/>
        </w:rPr>
        <w:t xml:space="preserve"> the general fund, descriptions should be specific to the particular government rather than general descriptions that could describe any government. (GASB 38, ¶6</w:t>
      </w:r>
      <w:bookmarkStart w:id="0" w:name="_Hlk488419933"/>
      <w:r w:rsidR="00503406" w:rsidRPr="00AC4CC7">
        <w:rPr>
          <w:rFonts w:cs="Arial"/>
          <w:szCs w:val="24"/>
        </w:rPr>
        <w:t xml:space="preserve">) </w:t>
      </w:r>
    </w:p>
    <w:bookmarkEnd w:id="0"/>
    <w:p w14:paraId="700D62F0" w14:textId="336E5EAA"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Description of types of transactions included in program revenues in the statement of activities </w:t>
      </w:r>
      <w:r w:rsidR="005D5E2A" w:rsidRPr="00D2583B">
        <w:rPr>
          <w:rFonts w:cs="Arial"/>
          <w:szCs w:val="24"/>
        </w:rPr>
        <w:t>(i.e., charges for services, program-specific operating grants and contributions, and program-specific capital grants and contributions)</w:t>
      </w:r>
      <w:r w:rsidR="00357A94">
        <w:rPr>
          <w:rFonts w:cs="Arial"/>
          <w:szCs w:val="24"/>
        </w:rPr>
        <w:t>.</w:t>
      </w:r>
    </w:p>
    <w:p w14:paraId="700D62F1" w14:textId="4C3C8C6B" w:rsidR="00C51851" w:rsidRPr="00222FCD" w:rsidRDefault="00C51851"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allocating indirect expenses to functions in the statement of activities</w:t>
      </w:r>
      <w:r w:rsidR="00727F26">
        <w:rPr>
          <w:rFonts w:cs="Arial"/>
          <w:szCs w:val="24"/>
        </w:rPr>
        <w:t xml:space="preserve">. </w:t>
      </w:r>
      <w:r w:rsidR="006C4DB7" w:rsidRPr="00222FCD">
        <w:rPr>
          <w:rFonts w:cs="Arial"/>
          <w:szCs w:val="24"/>
        </w:rPr>
        <w:t xml:space="preserve">If indirect expenses are allocated, direct and indirect expenses </w:t>
      </w:r>
      <w:r w:rsidR="006C4DB7" w:rsidRPr="00222FCD">
        <w:rPr>
          <w:rFonts w:cs="Arial"/>
          <w:szCs w:val="24"/>
        </w:rPr>
        <w:lastRenderedPageBreak/>
        <w:t>should be presented in separate columns on the statement of activities. (GASB Cod. §2200.130)</w:t>
      </w:r>
    </w:p>
    <w:p w14:paraId="700D62F2" w14:textId="2F4C550C"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Policy for eliminating internal activity </w:t>
      </w:r>
      <w:r w:rsidR="001F6CA0" w:rsidRPr="00D2583B">
        <w:rPr>
          <w:rFonts w:cs="Arial"/>
          <w:szCs w:val="24"/>
        </w:rPr>
        <w:t>from</w:t>
      </w:r>
      <w:r w:rsidRPr="00D2583B">
        <w:rPr>
          <w:rFonts w:cs="Arial"/>
          <w:szCs w:val="24"/>
        </w:rPr>
        <w:t xml:space="preserve"> the statement of activities</w:t>
      </w:r>
      <w:r w:rsidR="00357A94">
        <w:rPr>
          <w:rFonts w:cs="Arial"/>
          <w:szCs w:val="24"/>
        </w:rPr>
        <w:t>.</w:t>
      </w:r>
      <w:r w:rsidRPr="00D2583B">
        <w:rPr>
          <w:rFonts w:cs="Arial"/>
          <w:szCs w:val="24"/>
        </w:rPr>
        <w:t xml:space="preserve"> </w:t>
      </w:r>
    </w:p>
    <w:p w14:paraId="700D62F3" w14:textId="4238F1F9"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for defining operating and nonoperating revenues</w:t>
      </w:r>
      <w:r w:rsidR="00935F9C" w:rsidRPr="00D2583B">
        <w:rPr>
          <w:rFonts w:cs="Arial"/>
          <w:szCs w:val="24"/>
        </w:rPr>
        <w:t xml:space="preserve"> and expenses</w:t>
      </w:r>
      <w:r w:rsidRPr="00D2583B">
        <w:rPr>
          <w:rFonts w:cs="Arial"/>
          <w:szCs w:val="24"/>
        </w:rPr>
        <w:t xml:space="preserve"> of proprietary funds</w:t>
      </w:r>
      <w:r w:rsidR="00357A94">
        <w:rPr>
          <w:rFonts w:cs="Arial"/>
          <w:szCs w:val="24"/>
        </w:rPr>
        <w:t>.</w:t>
      </w:r>
      <w:r w:rsidRPr="00D2583B">
        <w:rPr>
          <w:rFonts w:cs="Arial"/>
          <w:szCs w:val="24"/>
        </w:rPr>
        <w:t xml:space="preserve"> </w:t>
      </w:r>
    </w:p>
    <w:p w14:paraId="700D62F4" w14:textId="225D11F1" w:rsidR="00851467" w:rsidRPr="00D2583B" w:rsidRDefault="00851467"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Basis of accounting (GASB Cod. §</w:t>
      </w:r>
      <w:r w:rsidR="009C331B" w:rsidRPr="00D2583B">
        <w:rPr>
          <w:rFonts w:cs="Arial"/>
          <w:szCs w:val="24"/>
        </w:rPr>
        <w:t>2300</w:t>
      </w:r>
      <w:r w:rsidRPr="00D2583B">
        <w:rPr>
          <w:rFonts w:cs="Arial"/>
          <w:szCs w:val="24"/>
        </w:rPr>
        <w:t xml:space="preserve"> </w:t>
      </w:r>
      <w:r w:rsidR="009C331B" w:rsidRPr="00D2583B">
        <w:rPr>
          <w:rFonts w:cs="Arial"/>
          <w:szCs w:val="24"/>
        </w:rPr>
        <w:t xml:space="preserve">and </w:t>
      </w:r>
      <w:r w:rsidRPr="00D2583B">
        <w:rPr>
          <w:rFonts w:cs="Arial"/>
          <w:szCs w:val="24"/>
        </w:rPr>
        <w:t>GASB 34</w:t>
      </w:r>
      <w:r w:rsidR="009C331B" w:rsidRPr="00D2583B">
        <w:rPr>
          <w:rFonts w:cs="Arial"/>
          <w:szCs w:val="24"/>
        </w:rPr>
        <w:t>, ¶115</w:t>
      </w:r>
      <w:r w:rsidRPr="00D2583B">
        <w:rPr>
          <w:rFonts w:cs="Arial"/>
          <w:szCs w:val="24"/>
        </w:rPr>
        <w:t>)</w:t>
      </w:r>
      <w:r w:rsidR="001D0D94">
        <w:t>:</w:t>
      </w:r>
    </w:p>
    <w:p w14:paraId="700D62F5" w14:textId="60D01B55" w:rsidR="00851467" w:rsidRPr="00D2583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M</w:t>
      </w:r>
      <w:r w:rsidR="00B716B2" w:rsidRPr="00D2583B">
        <w:rPr>
          <w:rFonts w:cs="Arial"/>
          <w:szCs w:val="24"/>
        </w:rPr>
        <w:t>easurement focus</w:t>
      </w:r>
      <w:r w:rsidR="00C338DE" w:rsidRPr="00D2583B">
        <w:rPr>
          <w:rFonts w:cs="Arial"/>
          <w:szCs w:val="24"/>
        </w:rPr>
        <w:t xml:space="preserve"> and</w:t>
      </w:r>
      <w:r w:rsidR="00B716B2" w:rsidRPr="00D2583B">
        <w:rPr>
          <w:rFonts w:cs="Arial"/>
          <w:szCs w:val="24"/>
        </w:rPr>
        <w:t xml:space="preserve"> basis of accounting</w:t>
      </w:r>
      <w:r w:rsidR="00851467" w:rsidRPr="00D2583B">
        <w:rPr>
          <w:rFonts w:cs="Arial"/>
          <w:szCs w:val="24"/>
        </w:rPr>
        <w:t xml:space="preserve"> used in government-wide statements</w:t>
      </w:r>
      <w:r w:rsidR="00357A94">
        <w:rPr>
          <w:rFonts w:cs="Arial"/>
          <w:szCs w:val="24"/>
        </w:rPr>
        <w:t>.</w:t>
      </w:r>
    </w:p>
    <w:p w14:paraId="61361C6E" w14:textId="6BF874EA" w:rsidR="00AC4CC7" w:rsidRPr="00D2583B" w:rsidRDefault="00AC4CC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Revenue recognition policies used in the fund financial statements, including the period of availability used for recognition of revenues in the governmental fund financial statements</w:t>
      </w:r>
      <w:r w:rsidR="00357A94">
        <w:rPr>
          <w:rFonts w:cs="Arial"/>
          <w:szCs w:val="24"/>
        </w:rPr>
        <w:t>.</w:t>
      </w:r>
      <w:r w:rsidRPr="00D2583B">
        <w:rPr>
          <w:rFonts w:cs="Arial"/>
          <w:szCs w:val="24"/>
        </w:rPr>
        <w:t xml:space="preserve"> (GASB 38, ¶7)</w:t>
      </w:r>
    </w:p>
    <w:p w14:paraId="700D62F6" w14:textId="1B553707" w:rsidR="0090095C" w:rsidRPr="00D2583B" w:rsidRDefault="0090095C"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Policy regarding whether to first apply restricted or unrestricted resources when both restricted and unrestr</w:t>
      </w:r>
      <w:r w:rsidR="00090DAC">
        <w:rPr>
          <w:rFonts w:cs="Arial"/>
          <w:szCs w:val="24"/>
        </w:rPr>
        <w:t>icted net assets are available</w:t>
      </w:r>
      <w:r w:rsidR="00ED1919">
        <w:rPr>
          <w:rFonts w:cs="Arial"/>
          <w:szCs w:val="24"/>
        </w:rPr>
        <w:t>.</w:t>
      </w:r>
      <w:r w:rsidR="00090DAC">
        <w:rPr>
          <w:rFonts w:cs="Arial"/>
          <w:szCs w:val="24"/>
        </w:rPr>
        <w:t xml:space="preserve"> </w:t>
      </w:r>
    </w:p>
    <w:p w14:paraId="700D62F8" w14:textId="7204D173" w:rsidR="00851467" w:rsidRPr="00D2583B" w:rsidRDefault="00851467" w:rsidP="007E6A60">
      <w:pPr>
        <w:pStyle w:val="BodyTextIndent2"/>
        <w:keepNext/>
        <w:numPr>
          <w:ilvl w:val="0"/>
          <w:numId w:val="14"/>
        </w:numPr>
        <w:tabs>
          <w:tab w:val="left" w:pos="-6390"/>
          <w:tab w:val="left" w:pos="-6300"/>
        </w:tabs>
        <w:spacing w:after="120"/>
        <w:jc w:val="left"/>
        <w:outlineLvl w:val="0"/>
        <w:rPr>
          <w:rFonts w:cs="Arial"/>
          <w:szCs w:val="24"/>
        </w:rPr>
      </w:pPr>
      <w:r w:rsidRPr="00D2583B">
        <w:rPr>
          <w:rFonts w:cs="Arial"/>
          <w:szCs w:val="24"/>
        </w:rPr>
        <w:t>Assets</w:t>
      </w:r>
      <w:r w:rsidR="001D6B5D">
        <w:rPr>
          <w:rFonts w:cs="Arial"/>
          <w:szCs w:val="24"/>
        </w:rPr>
        <w:t>/deferred outflows of resources</w:t>
      </w:r>
      <w:r w:rsidRPr="00D2583B">
        <w:rPr>
          <w:rFonts w:cs="Arial"/>
          <w:szCs w:val="24"/>
        </w:rPr>
        <w:t xml:space="preserve"> and liabilities</w:t>
      </w:r>
      <w:r w:rsidR="001D6B5D">
        <w:rPr>
          <w:rFonts w:cs="Arial"/>
          <w:szCs w:val="24"/>
        </w:rPr>
        <w:t>/deferred inflows of resources</w:t>
      </w:r>
      <w:r w:rsidRPr="00D2583B">
        <w:rPr>
          <w:rFonts w:cs="Arial"/>
          <w:szCs w:val="24"/>
        </w:rPr>
        <w:t>; revenues and expenditures/expenses</w:t>
      </w:r>
      <w:r w:rsidR="001D0D94" w:rsidRPr="001D0D94">
        <w:rPr>
          <w:rFonts w:cs="Arial"/>
          <w:szCs w:val="24"/>
        </w:rPr>
        <w:t>:</w:t>
      </w:r>
    </w:p>
    <w:p w14:paraId="700D62F9" w14:textId="245001C5"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Cash and cash equivalents definition</w:t>
      </w:r>
      <w:r w:rsidR="00355021" w:rsidRPr="00D2583B">
        <w:rPr>
          <w:rFonts w:cs="Arial"/>
          <w:szCs w:val="24"/>
        </w:rPr>
        <w:t xml:space="preserve"> used in the statement of cash flows for the proprietary funds</w:t>
      </w:r>
      <w:r w:rsidR="00ED1919">
        <w:rPr>
          <w:rFonts w:cs="Arial"/>
          <w:szCs w:val="24"/>
        </w:rPr>
        <w:t>.</w:t>
      </w:r>
      <w:r w:rsidR="00765F26" w:rsidRPr="00765F26">
        <w:rPr>
          <w:rFonts w:cs="Arial"/>
          <w:szCs w:val="24"/>
        </w:rPr>
        <w:t xml:space="preserve"> (GASB Cod. §§2300, ¶.106 and 2450)</w:t>
      </w:r>
    </w:p>
    <w:p w14:paraId="700D62FA" w14:textId="167511A2"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Investments’ valuation basis</w:t>
      </w:r>
      <w:r w:rsidR="00ED1919">
        <w:rPr>
          <w:rFonts w:cs="Arial"/>
          <w:szCs w:val="24"/>
        </w:rPr>
        <w:t>.</w:t>
      </w:r>
      <w:r w:rsidRPr="00D2583B">
        <w:rPr>
          <w:rFonts w:cs="Arial"/>
          <w:szCs w:val="24"/>
        </w:rPr>
        <w:t xml:space="preserve"> (GASB Cod. §I50)</w:t>
      </w:r>
    </w:p>
    <w:p w14:paraId="700D62FE" w14:textId="5FBD4DB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Inventories, including basis and valuation method</w:t>
      </w:r>
      <w:r w:rsidR="00ED1919">
        <w:rPr>
          <w:rFonts w:cs="Arial"/>
          <w:szCs w:val="24"/>
        </w:rPr>
        <w:t>.</w:t>
      </w:r>
      <w:r w:rsidRPr="00D2583B">
        <w:rPr>
          <w:rFonts w:cs="Arial"/>
          <w:szCs w:val="24"/>
        </w:rPr>
        <w:t xml:space="preserve"> </w:t>
      </w:r>
      <w:r w:rsidR="00765F26" w:rsidRPr="00765F26">
        <w:rPr>
          <w:rFonts w:cs="Arial"/>
          <w:szCs w:val="24"/>
        </w:rPr>
        <w:t xml:space="preserve">(GASB Cod. §I40, ¶.114) </w:t>
      </w:r>
    </w:p>
    <w:p w14:paraId="700D62FF" w14:textId="57F0FA72"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Capital assets</w:t>
      </w:r>
      <w:r w:rsidR="00D80926">
        <w:rPr>
          <w:rFonts w:cs="Arial"/>
          <w:szCs w:val="24"/>
        </w:rPr>
        <w:t xml:space="preserve">, </w:t>
      </w:r>
      <w:r w:rsidR="00D80926" w:rsidRPr="00A87543">
        <w:rPr>
          <w:rFonts w:cs="Arial"/>
          <w:szCs w:val="24"/>
        </w:rPr>
        <w:t xml:space="preserve">incorporating </w:t>
      </w:r>
      <w:r w:rsidR="00E676AC" w:rsidRPr="00A87543">
        <w:rPr>
          <w:rFonts w:cs="Arial"/>
          <w:szCs w:val="24"/>
        </w:rPr>
        <w:t xml:space="preserve">intangible </w:t>
      </w:r>
      <w:r w:rsidR="00D80926" w:rsidRPr="00A87543">
        <w:rPr>
          <w:rFonts w:cs="Arial"/>
          <w:szCs w:val="24"/>
        </w:rPr>
        <w:t>right-to-use lease</w:t>
      </w:r>
      <w:r w:rsidR="00E676AC" w:rsidRPr="00A87543">
        <w:rPr>
          <w:rFonts w:cs="Arial"/>
          <w:szCs w:val="24"/>
        </w:rPr>
        <w:t xml:space="preserve"> </w:t>
      </w:r>
      <w:r w:rsidR="00A87543">
        <w:rPr>
          <w:rFonts w:cs="Arial"/>
          <w:szCs w:val="24"/>
          <w:highlight w:val="yellow"/>
        </w:rPr>
        <w:t xml:space="preserve">and subscription </w:t>
      </w:r>
      <w:r w:rsidR="00E676AC" w:rsidRPr="002E203D">
        <w:rPr>
          <w:rFonts w:cs="Arial"/>
          <w:szCs w:val="24"/>
        </w:rPr>
        <w:t>assets</w:t>
      </w:r>
      <w:r w:rsidRPr="00D2583B">
        <w:rPr>
          <w:rFonts w:cs="Arial"/>
          <w:szCs w:val="24"/>
        </w:rPr>
        <w:t xml:space="preserve"> </w:t>
      </w:r>
      <w:r w:rsidR="00765F26" w:rsidRPr="00765F26">
        <w:rPr>
          <w:rFonts w:cs="Arial"/>
          <w:szCs w:val="24"/>
        </w:rPr>
        <w:t>(GASB Cod. §2300, ¶.106)</w:t>
      </w:r>
      <w:r w:rsidR="00CD3A15">
        <w:rPr>
          <w:rFonts w:cs="Arial"/>
          <w:szCs w:val="24"/>
        </w:rPr>
        <w:t>,</w:t>
      </w:r>
      <w:r w:rsidR="00765F26" w:rsidRPr="00765F26">
        <w:rPr>
          <w:rFonts w:cs="Arial"/>
          <w:szCs w:val="24"/>
        </w:rPr>
        <w:t xml:space="preserve"> including: </w:t>
      </w:r>
    </w:p>
    <w:p w14:paraId="700D6300" w14:textId="5E44998B"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 xml:space="preserve">Policy for capitalizing assets, including interest </w:t>
      </w:r>
      <w:proofErr w:type="gramStart"/>
      <w:r w:rsidRPr="00D2583B">
        <w:rPr>
          <w:rFonts w:cs="Arial"/>
          <w:szCs w:val="24"/>
        </w:rPr>
        <w:t>costs</w:t>
      </w:r>
      <w:proofErr w:type="gramEnd"/>
      <w:r w:rsidRPr="00D2583B">
        <w:rPr>
          <w:rFonts w:cs="Arial"/>
          <w:szCs w:val="24"/>
        </w:rPr>
        <w:t xml:space="preserve"> and estimated useful lives</w:t>
      </w:r>
      <w:r w:rsidR="00CD3A15">
        <w:rPr>
          <w:rFonts w:cs="Arial"/>
          <w:szCs w:val="24"/>
        </w:rPr>
        <w:t>.</w:t>
      </w:r>
    </w:p>
    <w:p w14:paraId="700D6301" w14:textId="4A3A8D30" w:rsidR="00851467" w:rsidRPr="00D2583B" w:rsidRDefault="00851467" w:rsidP="007E6A60">
      <w:pPr>
        <w:pStyle w:val="BodyTextIndent2"/>
        <w:numPr>
          <w:ilvl w:val="2"/>
          <w:numId w:val="14"/>
        </w:numPr>
        <w:tabs>
          <w:tab w:val="left" w:pos="-6390"/>
          <w:tab w:val="left" w:pos="-6300"/>
        </w:tabs>
        <w:spacing w:after="120"/>
        <w:jc w:val="left"/>
        <w:outlineLvl w:val="2"/>
        <w:rPr>
          <w:rFonts w:cs="Arial"/>
          <w:szCs w:val="24"/>
        </w:rPr>
      </w:pPr>
      <w:r w:rsidRPr="00D2583B">
        <w:rPr>
          <w:rFonts w:cs="Arial"/>
          <w:szCs w:val="24"/>
        </w:rPr>
        <w:t>Depreciation</w:t>
      </w:r>
      <w:r w:rsidR="00D80926" w:rsidRPr="002E203D">
        <w:rPr>
          <w:rFonts w:cs="Arial"/>
          <w:szCs w:val="24"/>
        </w:rPr>
        <w:t>/amortization</w:t>
      </w:r>
      <w:r w:rsidRPr="00D2583B">
        <w:rPr>
          <w:rFonts w:cs="Arial"/>
          <w:szCs w:val="24"/>
        </w:rPr>
        <w:t xml:space="preserve"> policy</w:t>
      </w:r>
      <w:r w:rsidR="00ED1919">
        <w:rPr>
          <w:rFonts w:cs="Arial"/>
          <w:szCs w:val="24"/>
        </w:rPr>
        <w:t>.</w:t>
      </w:r>
      <w:r w:rsidRPr="00D2583B">
        <w:rPr>
          <w:rFonts w:cs="Arial"/>
          <w:szCs w:val="24"/>
        </w:rPr>
        <w:t xml:space="preserve"> </w:t>
      </w:r>
    </w:p>
    <w:p w14:paraId="700D6302" w14:textId="59358A1D"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Compensated absences</w:t>
      </w:r>
      <w:r w:rsidR="00ED1919">
        <w:rPr>
          <w:rFonts w:cs="Arial"/>
          <w:szCs w:val="24"/>
        </w:rPr>
        <w:t>.</w:t>
      </w:r>
      <w:r w:rsidR="00765F26">
        <w:rPr>
          <w:rFonts w:cs="Arial"/>
          <w:szCs w:val="24"/>
        </w:rPr>
        <w:t xml:space="preserve"> </w:t>
      </w:r>
      <w:r w:rsidR="00765F26" w:rsidRPr="00765F26">
        <w:rPr>
          <w:rFonts w:cs="Arial"/>
          <w:szCs w:val="24"/>
        </w:rPr>
        <w:t>(GASB Cod. §§2300 and C60)</w:t>
      </w:r>
    </w:p>
    <w:p w14:paraId="76EFDAC3" w14:textId="3E6E9C53" w:rsidR="009B7DDE" w:rsidRPr="00D438B4" w:rsidRDefault="009B7DDE" w:rsidP="007E6A60">
      <w:pPr>
        <w:pStyle w:val="BodyTextIndent2"/>
        <w:numPr>
          <w:ilvl w:val="1"/>
          <w:numId w:val="14"/>
        </w:numPr>
        <w:tabs>
          <w:tab w:val="left" w:pos="-6210"/>
        </w:tabs>
        <w:spacing w:after="120"/>
        <w:jc w:val="left"/>
        <w:outlineLvl w:val="1"/>
        <w:rPr>
          <w:rFonts w:cs="Arial"/>
          <w:szCs w:val="24"/>
        </w:rPr>
      </w:pPr>
      <w:r w:rsidRPr="00D438B4">
        <w:rPr>
          <w:rFonts w:cs="Arial"/>
          <w:szCs w:val="24"/>
        </w:rPr>
        <w:t>Leases</w:t>
      </w:r>
      <w:r w:rsidR="00D57197" w:rsidRPr="00D438B4">
        <w:rPr>
          <w:rFonts w:cs="Arial"/>
          <w:szCs w:val="24"/>
        </w:rPr>
        <w:t xml:space="preserve"> </w:t>
      </w:r>
      <w:r w:rsidR="00D57197" w:rsidRPr="00D438B4">
        <w:rPr>
          <w:rFonts w:cs="Arial"/>
          <w:szCs w:val="24"/>
          <w:highlight w:val="yellow"/>
        </w:rPr>
        <w:t xml:space="preserve">&amp; </w:t>
      </w:r>
      <w:r w:rsidR="00E90709">
        <w:rPr>
          <w:rFonts w:cs="Arial"/>
          <w:szCs w:val="24"/>
          <w:highlight w:val="yellow"/>
        </w:rPr>
        <w:t>subscription-based information technology arrangements (</w:t>
      </w:r>
      <w:r w:rsidR="00D57197" w:rsidRPr="00D438B4">
        <w:rPr>
          <w:rFonts w:cs="Arial"/>
          <w:szCs w:val="24"/>
          <w:highlight w:val="yellow"/>
        </w:rPr>
        <w:t>SBITAs</w:t>
      </w:r>
      <w:r w:rsidR="00E90709">
        <w:rPr>
          <w:rFonts w:cs="Arial"/>
          <w:szCs w:val="24"/>
        </w:rPr>
        <w:t>)</w:t>
      </w:r>
      <w:r w:rsidRPr="00D438B4">
        <w:rPr>
          <w:rFonts w:cs="Arial"/>
          <w:szCs w:val="24"/>
        </w:rPr>
        <w:t xml:space="preserve">. </w:t>
      </w:r>
      <w:r w:rsidR="008441B3" w:rsidRPr="00D438B4">
        <w:rPr>
          <w:rFonts w:cs="Arial"/>
          <w:szCs w:val="24"/>
        </w:rPr>
        <w:t xml:space="preserve">Disclosure of accounting policies should identify and describe the accounting principles followed by the </w:t>
      </w:r>
      <w:proofErr w:type="gramStart"/>
      <w:r w:rsidR="006D6D5B" w:rsidRPr="00D438B4">
        <w:rPr>
          <w:rFonts w:cs="Arial"/>
          <w:szCs w:val="24"/>
        </w:rPr>
        <w:t>District</w:t>
      </w:r>
      <w:proofErr w:type="gramEnd"/>
      <w:r w:rsidR="008441B3" w:rsidRPr="00D438B4">
        <w:rPr>
          <w:rFonts w:cs="Arial"/>
          <w:szCs w:val="24"/>
        </w:rPr>
        <w:t xml:space="preserve"> and the methods of applying those principles that affect the determination of financial position and changes in financial position (GASB Cod. §2300, ¶.113), including:</w:t>
      </w:r>
    </w:p>
    <w:p w14:paraId="6BB8A642" w14:textId="6F73528B" w:rsidR="008441B3" w:rsidRPr="00635E32" w:rsidRDefault="00B64542" w:rsidP="007E6A60">
      <w:pPr>
        <w:pStyle w:val="BodyTextIndent2"/>
        <w:numPr>
          <w:ilvl w:val="2"/>
          <w:numId w:val="14"/>
        </w:numPr>
        <w:tabs>
          <w:tab w:val="left" w:pos="-6210"/>
        </w:tabs>
        <w:spacing w:after="120"/>
        <w:jc w:val="left"/>
        <w:outlineLvl w:val="1"/>
        <w:rPr>
          <w:rFonts w:cs="Arial"/>
          <w:szCs w:val="24"/>
        </w:rPr>
      </w:pPr>
      <w:r w:rsidRPr="00D438B4">
        <w:rPr>
          <w:rFonts w:cs="Arial"/>
          <w:szCs w:val="24"/>
        </w:rPr>
        <w:t xml:space="preserve">Threshold for recognizing lease liabilities as the </w:t>
      </w:r>
      <w:r w:rsidRPr="00D438B4">
        <w:rPr>
          <w:rFonts w:cs="Arial"/>
          <w:b/>
          <w:bCs/>
          <w:szCs w:val="24"/>
        </w:rPr>
        <w:t>lessee</w:t>
      </w:r>
      <w:r w:rsidRPr="00D438B4">
        <w:rPr>
          <w:rFonts w:cs="Arial"/>
          <w:szCs w:val="24"/>
        </w:rPr>
        <w:t xml:space="preserve"> and lease receivables as the </w:t>
      </w:r>
      <w:r w:rsidRPr="00D438B4">
        <w:rPr>
          <w:rFonts w:cs="Arial"/>
          <w:b/>
          <w:bCs/>
          <w:szCs w:val="24"/>
        </w:rPr>
        <w:t>lessor</w:t>
      </w:r>
      <w:r w:rsidR="00635E32" w:rsidRPr="00635E32">
        <w:rPr>
          <w:rFonts w:cs="Arial"/>
          <w:szCs w:val="24"/>
        </w:rPr>
        <w:t xml:space="preserve">; </w:t>
      </w:r>
      <w:r w:rsidR="00635E32" w:rsidRPr="00635E32">
        <w:rPr>
          <w:rFonts w:cs="Arial"/>
          <w:szCs w:val="24"/>
          <w:highlight w:val="yellow"/>
        </w:rPr>
        <w:t>threshold for recognizing subscription liabilities</w:t>
      </w:r>
      <w:r w:rsidRPr="00635E32">
        <w:rPr>
          <w:rFonts w:cs="Arial"/>
          <w:szCs w:val="24"/>
        </w:rPr>
        <w:t>.</w:t>
      </w:r>
    </w:p>
    <w:p w14:paraId="0A48D8C8" w14:textId="790B6ADA" w:rsidR="00B64542" w:rsidRPr="00D438B4" w:rsidRDefault="006D6D5B" w:rsidP="007E6A60">
      <w:pPr>
        <w:pStyle w:val="BodyTextIndent2"/>
        <w:numPr>
          <w:ilvl w:val="2"/>
          <w:numId w:val="14"/>
        </w:numPr>
        <w:tabs>
          <w:tab w:val="left" w:pos="-6210"/>
        </w:tabs>
        <w:spacing w:after="120"/>
        <w:jc w:val="left"/>
        <w:outlineLvl w:val="1"/>
        <w:rPr>
          <w:rFonts w:cs="Arial"/>
          <w:szCs w:val="24"/>
        </w:rPr>
      </w:pPr>
      <w:r w:rsidRPr="00D438B4">
        <w:rPr>
          <w:rFonts w:cs="Arial"/>
          <w:szCs w:val="24"/>
        </w:rPr>
        <w:t xml:space="preserve">How the incremental borrowing rate is </w:t>
      </w:r>
      <w:proofErr w:type="gramStart"/>
      <w:r w:rsidRPr="00D438B4">
        <w:rPr>
          <w:rFonts w:cs="Arial"/>
          <w:szCs w:val="24"/>
        </w:rPr>
        <w:t>calculated, if</w:t>
      </w:r>
      <w:proofErr w:type="gramEnd"/>
      <w:r w:rsidRPr="00D438B4">
        <w:rPr>
          <w:rFonts w:cs="Arial"/>
          <w:szCs w:val="24"/>
        </w:rPr>
        <w:t xml:space="preserve"> the discount rate cannot be readily determined from the lease </w:t>
      </w:r>
      <w:proofErr w:type="spellStart"/>
      <w:r w:rsidRPr="00D438B4">
        <w:rPr>
          <w:rFonts w:cs="Arial"/>
          <w:szCs w:val="24"/>
        </w:rPr>
        <w:t>contract</w:t>
      </w:r>
      <w:r w:rsidR="00B00C87">
        <w:rPr>
          <w:rFonts w:cs="Arial"/>
          <w:szCs w:val="24"/>
        </w:rPr>
        <w:t xml:space="preserve"> </w:t>
      </w:r>
      <w:r w:rsidR="00B00C87" w:rsidRPr="00B00C87">
        <w:rPr>
          <w:rFonts w:cs="Arial"/>
          <w:szCs w:val="24"/>
          <w:highlight w:val="yellow"/>
        </w:rPr>
        <w:t>or</w:t>
      </w:r>
      <w:proofErr w:type="spellEnd"/>
      <w:r w:rsidR="00B00C87" w:rsidRPr="00B00C87">
        <w:rPr>
          <w:rFonts w:cs="Arial"/>
          <w:szCs w:val="24"/>
          <w:highlight w:val="yellow"/>
        </w:rPr>
        <w:t xml:space="preserve"> SBITA</w:t>
      </w:r>
      <w:r w:rsidRPr="00D438B4">
        <w:rPr>
          <w:rFonts w:cs="Arial"/>
          <w:szCs w:val="24"/>
        </w:rPr>
        <w:t>.</w:t>
      </w:r>
    </w:p>
    <w:p w14:paraId="700D6303" w14:textId="69941079" w:rsidR="009C331B" w:rsidRDefault="009C331B"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Property tax calendar</w:t>
      </w:r>
      <w:r w:rsidR="00765F26" w:rsidRPr="00765F26">
        <w:rPr>
          <w:rFonts w:cs="Arial"/>
          <w:szCs w:val="24"/>
        </w:rPr>
        <w:t xml:space="preserve">, including lien dates, levy dates, due dates, and collection dates. </w:t>
      </w:r>
      <w:r w:rsidRPr="00D2583B">
        <w:rPr>
          <w:rFonts w:cs="Arial"/>
          <w:szCs w:val="24"/>
        </w:rPr>
        <w:t>(GASB Cod. §P70)</w:t>
      </w:r>
    </w:p>
    <w:p w14:paraId="7048D828" w14:textId="44CB4702"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Deferred outflows and inflows of resources</w:t>
      </w:r>
      <w:r w:rsidR="009D526D">
        <w:rPr>
          <w:rFonts w:cs="Arial"/>
          <w:szCs w:val="24"/>
        </w:rPr>
        <w:t>.</w:t>
      </w:r>
      <w:r>
        <w:rPr>
          <w:rFonts w:cs="Arial"/>
          <w:szCs w:val="24"/>
        </w:rPr>
        <w:t xml:space="preserve"> (GASB Cod. §2300.131)</w:t>
      </w:r>
    </w:p>
    <w:p w14:paraId="61AA9ED1" w14:textId="30778A8C" w:rsidR="00905FC0" w:rsidRDefault="00905FC0" w:rsidP="007E6A60">
      <w:pPr>
        <w:pStyle w:val="BodyTextIndent2"/>
        <w:numPr>
          <w:ilvl w:val="1"/>
          <w:numId w:val="14"/>
        </w:numPr>
        <w:tabs>
          <w:tab w:val="left" w:pos="-6210"/>
        </w:tabs>
        <w:spacing w:after="120"/>
        <w:jc w:val="left"/>
        <w:outlineLvl w:val="1"/>
        <w:rPr>
          <w:rFonts w:cs="Arial"/>
          <w:szCs w:val="24"/>
        </w:rPr>
      </w:pPr>
      <w:r>
        <w:rPr>
          <w:rFonts w:cs="Arial"/>
          <w:szCs w:val="24"/>
        </w:rPr>
        <w:t>Postemployment benefits</w:t>
      </w:r>
      <w:r w:rsidR="009D526D">
        <w:rPr>
          <w:rFonts w:cs="Arial"/>
          <w:szCs w:val="24"/>
        </w:rPr>
        <w:t>.</w:t>
      </w:r>
      <w:r>
        <w:rPr>
          <w:rFonts w:cs="Arial"/>
          <w:szCs w:val="24"/>
        </w:rPr>
        <w:t xml:space="preserve"> (GASB Cod </w:t>
      </w:r>
      <w:r w:rsidR="00F846D8">
        <w:rPr>
          <w:rFonts w:cs="Arial"/>
          <w:szCs w:val="24"/>
        </w:rPr>
        <w:t>§§</w:t>
      </w:r>
      <w:r>
        <w:rPr>
          <w:rFonts w:cs="Arial"/>
          <w:szCs w:val="24"/>
        </w:rPr>
        <w:t>310</w:t>
      </w:r>
      <w:r w:rsidR="00F846D8">
        <w:rPr>
          <w:rFonts w:cs="Arial"/>
          <w:szCs w:val="24"/>
        </w:rPr>
        <w:t>0.162, P20-22; P50-51)</w:t>
      </w:r>
    </w:p>
    <w:p w14:paraId="71B46902" w14:textId="529A91A0" w:rsidR="00F846D8" w:rsidRPr="00D2583B" w:rsidRDefault="00F846D8" w:rsidP="007E6A60">
      <w:pPr>
        <w:pStyle w:val="BodyTextIndent2"/>
        <w:numPr>
          <w:ilvl w:val="1"/>
          <w:numId w:val="14"/>
        </w:numPr>
        <w:tabs>
          <w:tab w:val="left" w:pos="-6210"/>
        </w:tabs>
        <w:spacing w:after="120"/>
        <w:jc w:val="left"/>
        <w:outlineLvl w:val="1"/>
        <w:rPr>
          <w:rFonts w:cs="Arial"/>
          <w:szCs w:val="24"/>
        </w:rPr>
      </w:pPr>
      <w:r>
        <w:rPr>
          <w:rFonts w:cs="Arial"/>
          <w:szCs w:val="24"/>
        </w:rPr>
        <w:lastRenderedPageBreak/>
        <w:t>Investment earnings</w:t>
      </w:r>
      <w:r w:rsidR="009D526D">
        <w:rPr>
          <w:rFonts w:cs="Arial"/>
          <w:szCs w:val="24"/>
        </w:rPr>
        <w:t>.</w:t>
      </w:r>
      <w:r>
        <w:rPr>
          <w:rFonts w:cs="Arial"/>
          <w:szCs w:val="24"/>
        </w:rPr>
        <w:t xml:space="preserve"> (GASB Cod. §I20.131)</w:t>
      </w:r>
    </w:p>
    <w:p w14:paraId="700D6304" w14:textId="0CC029DD" w:rsidR="008F0E10" w:rsidRPr="00D2583B" w:rsidRDefault="008F0E10" w:rsidP="007E6A60">
      <w:pPr>
        <w:pStyle w:val="BodyTextIndent2"/>
        <w:numPr>
          <w:ilvl w:val="0"/>
          <w:numId w:val="14"/>
        </w:numPr>
        <w:tabs>
          <w:tab w:val="left" w:pos="-6390"/>
          <w:tab w:val="left" w:pos="-6300"/>
        </w:tabs>
        <w:spacing w:after="120"/>
        <w:jc w:val="left"/>
        <w:outlineLvl w:val="0"/>
        <w:rPr>
          <w:rFonts w:cs="Arial"/>
          <w:szCs w:val="24"/>
        </w:rPr>
      </w:pPr>
      <w:r w:rsidRPr="00D2583B">
        <w:rPr>
          <w:rFonts w:cs="Arial"/>
          <w:szCs w:val="24"/>
        </w:rPr>
        <w:t>Fund balance classification of the governmental funds</w:t>
      </w:r>
      <w:r w:rsidR="00765F26" w:rsidRPr="00765F26">
        <w:rPr>
          <w:rFonts w:cs="Arial"/>
          <w:szCs w:val="24"/>
        </w:rPr>
        <w:t xml:space="preserve"> (GASB Cod. §1800, ¶.183)</w:t>
      </w:r>
      <w:r w:rsidR="00E60247" w:rsidRPr="00D2583B">
        <w:rPr>
          <w:rFonts w:cs="Arial"/>
          <w:szCs w:val="24"/>
        </w:rPr>
        <w:t xml:space="preserve">. </w:t>
      </w:r>
      <w:r w:rsidRPr="00D2583B">
        <w:rPr>
          <w:rFonts w:cs="Arial"/>
          <w:szCs w:val="24"/>
        </w:rPr>
        <w:t xml:space="preserve">Description of </w:t>
      </w:r>
      <w:r w:rsidR="00BA7BEC" w:rsidRPr="00D2583B">
        <w:rPr>
          <w:rFonts w:cs="Arial"/>
          <w:szCs w:val="24"/>
        </w:rPr>
        <w:t xml:space="preserve">the </w:t>
      </w:r>
      <w:r w:rsidR="00F609AD" w:rsidRPr="00D2583B">
        <w:rPr>
          <w:rFonts w:cs="Arial"/>
          <w:szCs w:val="24"/>
        </w:rPr>
        <w:t>District</w:t>
      </w:r>
      <w:r w:rsidRPr="00D2583B">
        <w:rPr>
          <w:rFonts w:cs="Arial"/>
          <w:szCs w:val="24"/>
        </w:rPr>
        <w:t>’s fund balance classification policies and procedures</w:t>
      </w:r>
      <w:r w:rsidR="00CC3076" w:rsidRPr="00D2583B">
        <w:rPr>
          <w:rFonts w:cs="Arial"/>
          <w:szCs w:val="24"/>
        </w:rPr>
        <w:t>,</w:t>
      </w:r>
      <w:r w:rsidRPr="00D2583B">
        <w:rPr>
          <w:rFonts w:cs="Arial"/>
          <w:szCs w:val="24"/>
        </w:rPr>
        <w:t xml:space="preserve"> including the following:</w:t>
      </w:r>
    </w:p>
    <w:p w14:paraId="700D6305" w14:textId="75BA537C"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committed fund balance: (1) the government’s highest level of decision-making authority and (2) the formal action that is required to be taken to establish and modify or rescind a fund balance commitment</w:t>
      </w:r>
      <w:r w:rsidR="00CD3A15">
        <w:rPr>
          <w:rFonts w:cs="Arial"/>
          <w:szCs w:val="24"/>
        </w:rPr>
        <w:t>.</w:t>
      </w:r>
    </w:p>
    <w:p w14:paraId="700D6306" w14:textId="21177CDB" w:rsidR="008F0E10" w:rsidRPr="00D2583B"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For assigned fund balance: (1) the body or official authorized to assign amounts to a specific purpose and (2) the policy established by the governing body pursuant to whom that authorization is given</w:t>
      </w:r>
      <w:r w:rsidR="00CD3A15">
        <w:rPr>
          <w:rFonts w:cs="Arial"/>
          <w:szCs w:val="24"/>
        </w:rPr>
        <w:t>.</w:t>
      </w:r>
    </w:p>
    <w:p w14:paraId="700D6307" w14:textId="38A6F461" w:rsidR="008F0E10" w:rsidRDefault="008F0E10"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 xml:space="preserve">Whether the </w:t>
      </w:r>
      <w:r w:rsidR="0094247F" w:rsidRPr="00D2583B">
        <w:rPr>
          <w:rFonts w:cs="Arial"/>
          <w:szCs w:val="24"/>
        </w:rPr>
        <w:t>D</w:t>
      </w:r>
      <w:r w:rsidR="00F609AD" w:rsidRPr="00D2583B">
        <w:rPr>
          <w:rFonts w:cs="Arial"/>
          <w:szCs w:val="24"/>
        </w:rPr>
        <w:t>istrict</w:t>
      </w:r>
      <w:r w:rsidRPr="00D2583B">
        <w:rPr>
          <w:rFonts w:cs="Arial"/>
          <w:szCs w:val="24"/>
        </w:rPr>
        <w:t xml:space="preserve"> considers restricted or unrestricted amounts to have been spent when an expenditure is incurred for purposes for which both restricted and unrestricted fund balance is available and whether committed, assigned, or unassigned amounts are considered to have been spent when an expenditure is incurred for purposes for which amounts in any of those unrestricted fund balance classifications could be used. If the </w:t>
      </w:r>
      <w:r w:rsidR="0094247F" w:rsidRPr="00D2583B">
        <w:rPr>
          <w:rFonts w:cs="Arial"/>
          <w:szCs w:val="24"/>
        </w:rPr>
        <w:t>D</w:t>
      </w:r>
      <w:r w:rsidR="00F609AD" w:rsidRPr="00D2583B">
        <w:rPr>
          <w:rFonts w:cs="Arial"/>
          <w:szCs w:val="24"/>
        </w:rPr>
        <w:t>istrict</w:t>
      </w:r>
      <w:r w:rsidRPr="00D2583B">
        <w:rPr>
          <w:rFonts w:cs="Arial"/>
          <w:szCs w:val="24"/>
        </w:rPr>
        <w:t xml:space="preserve"> does</w:t>
      </w:r>
      <w:r w:rsidR="00BA7BEC" w:rsidRPr="00D2583B">
        <w:rPr>
          <w:rFonts w:cs="Arial"/>
          <w:szCs w:val="24"/>
        </w:rPr>
        <w:t xml:space="preserve"> </w:t>
      </w:r>
      <w:r w:rsidRPr="00D2583B">
        <w:rPr>
          <w:rFonts w:cs="Arial"/>
          <w:szCs w:val="24"/>
        </w:rPr>
        <w:t>n</w:t>
      </w:r>
      <w:r w:rsidR="00BA7BEC" w:rsidRPr="00D2583B">
        <w:rPr>
          <w:rFonts w:cs="Arial"/>
          <w:szCs w:val="24"/>
        </w:rPr>
        <w:t>o</w:t>
      </w:r>
      <w:r w:rsidRPr="00D2583B">
        <w:rPr>
          <w:rFonts w:cs="Arial"/>
          <w:szCs w:val="24"/>
        </w:rPr>
        <w:t>t have an established policy for its use of unrestricted fund balance amounts, it should consider that committed amounts would be reduced first, followed by assigned amounts, and then unassigned amounts</w:t>
      </w:r>
      <w:r w:rsidR="001D4A11" w:rsidRPr="00D2583B">
        <w:rPr>
          <w:rFonts w:cs="Arial"/>
          <w:szCs w:val="24"/>
        </w:rPr>
        <w:t>.</w:t>
      </w:r>
      <w:r w:rsidRPr="00D2583B">
        <w:rPr>
          <w:rFonts w:cs="Arial"/>
          <w:szCs w:val="24"/>
        </w:rPr>
        <w:t xml:space="preserve"> (GASB 54, ¶18)</w:t>
      </w:r>
    </w:p>
    <w:p w14:paraId="77FA08A6" w14:textId="49B699C8" w:rsidR="00642D6F" w:rsidRPr="00A97462" w:rsidRDefault="00642D6F" w:rsidP="007E6A60">
      <w:pPr>
        <w:pStyle w:val="BodyTextIndent2"/>
        <w:numPr>
          <w:ilvl w:val="0"/>
          <w:numId w:val="14"/>
        </w:numPr>
        <w:tabs>
          <w:tab w:val="left" w:pos="-6210"/>
        </w:tabs>
        <w:spacing w:after="120"/>
        <w:jc w:val="left"/>
        <w:outlineLvl w:val="1"/>
        <w:rPr>
          <w:rFonts w:cs="Arial"/>
          <w:szCs w:val="24"/>
        </w:rPr>
      </w:pPr>
      <w:r w:rsidRPr="00A97462">
        <w:rPr>
          <w:rFonts w:cs="Arial"/>
          <w:szCs w:val="24"/>
        </w:rPr>
        <w:t>Other significant or unusual accounting treatments or when GAAP permits more than one approach for material account balances or transactions.</w:t>
      </w:r>
    </w:p>
    <w:p w14:paraId="700D6308" w14:textId="77777777" w:rsidR="00851467" w:rsidRPr="000B3B55" w:rsidRDefault="00851467" w:rsidP="00FD0CF5">
      <w:pPr>
        <w:pStyle w:val="Heading1"/>
        <w:jc w:val="left"/>
      </w:pPr>
      <w:r w:rsidRPr="000B3B55">
        <w:t>Stewardship, compliance, and accountability</w:t>
      </w:r>
    </w:p>
    <w:p w14:paraId="700D6309" w14:textId="751CC7F1" w:rsidR="00851467" w:rsidRPr="00D2583B" w:rsidRDefault="009C331B" w:rsidP="007E6A60">
      <w:pPr>
        <w:pStyle w:val="BodyTextIndent2"/>
        <w:numPr>
          <w:ilvl w:val="0"/>
          <w:numId w:val="15"/>
        </w:numPr>
        <w:tabs>
          <w:tab w:val="left" w:pos="-6390"/>
          <w:tab w:val="left" w:pos="-6300"/>
        </w:tabs>
        <w:spacing w:after="120"/>
        <w:jc w:val="left"/>
        <w:outlineLvl w:val="0"/>
        <w:rPr>
          <w:rFonts w:cs="Arial"/>
          <w:szCs w:val="24"/>
        </w:rPr>
      </w:pPr>
      <w:r w:rsidRPr="00D2583B">
        <w:rPr>
          <w:rFonts w:cs="Arial"/>
          <w:szCs w:val="24"/>
        </w:rPr>
        <w:t xml:space="preserve">Significant </w:t>
      </w:r>
      <w:r w:rsidR="00851467" w:rsidRPr="00D2583B">
        <w:rPr>
          <w:rFonts w:cs="Arial"/>
          <w:szCs w:val="24"/>
        </w:rPr>
        <w:t xml:space="preserve">violations of finance-related legal </w:t>
      </w:r>
      <w:r w:rsidR="00DB10E6" w:rsidRPr="00D2583B">
        <w:rPr>
          <w:rFonts w:cs="Arial"/>
          <w:szCs w:val="24"/>
        </w:rPr>
        <w:t xml:space="preserve">or </w:t>
      </w:r>
      <w:r w:rsidR="00851467" w:rsidRPr="00D2583B">
        <w:rPr>
          <w:rFonts w:cs="Arial"/>
          <w:szCs w:val="24"/>
        </w:rPr>
        <w:t>contractual provisions (GASB Cod. §</w:t>
      </w:r>
      <w:r w:rsidR="004C0C19" w:rsidRPr="00D2583B">
        <w:rPr>
          <w:rFonts w:cs="Arial"/>
          <w:szCs w:val="24"/>
        </w:rPr>
        <w:t>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r w:rsidR="00A04057">
        <w:rPr>
          <w:rFonts w:cs="Arial"/>
          <w:szCs w:val="24"/>
        </w:rPr>
        <w:t>.</w:t>
      </w:r>
      <w:r w:rsidR="008534D3" w:rsidRPr="00D2583B">
        <w:rPr>
          <w:rFonts w:cs="Arial"/>
          <w:szCs w:val="24"/>
        </w:rPr>
        <w:t xml:space="preserve"> Also, disclose</w:t>
      </w:r>
      <w:r w:rsidR="00851467" w:rsidRPr="00D2583B">
        <w:rPr>
          <w:rFonts w:cs="Arial"/>
          <w:szCs w:val="24"/>
        </w:rPr>
        <w:t xml:space="preserve"> actions taken to address such violations</w:t>
      </w:r>
      <w:r w:rsidR="008534D3" w:rsidRPr="00D2583B">
        <w:rPr>
          <w:rFonts w:cs="Arial"/>
          <w:szCs w:val="24"/>
        </w:rPr>
        <w:t>.</w:t>
      </w:r>
      <w:r w:rsidR="00851467" w:rsidRPr="00D2583B">
        <w:rPr>
          <w:rFonts w:cs="Arial"/>
          <w:szCs w:val="24"/>
        </w:rPr>
        <w:t xml:space="preserve"> </w:t>
      </w:r>
    </w:p>
    <w:p w14:paraId="700D630A" w14:textId="3C23B646" w:rsidR="00851467" w:rsidRPr="00D2583B" w:rsidRDefault="00642D6F" w:rsidP="007E6A60">
      <w:pPr>
        <w:pStyle w:val="BodyTextIndent2"/>
        <w:numPr>
          <w:ilvl w:val="0"/>
          <w:numId w:val="15"/>
        </w:numPr>
        <w:tabs>
          <w:tab w:val="left" w:pos="-6390"/>
          <w:tab w:val="left" w:pos="-6300"/>
        </w:tabs>
        <w:spacing w:after="120"/>
        <w:jc w:val="left"/>
        <w:outlineLvl w:val="0"/>
        <w:rPr>
          <w:rFonts w:cs="Arial"/>
          <w:szCs w:val="24"/>
        </w:rPr>
      </w:pPr>
      <w:r>
        <w:rPr>
          <w:rFonts w:cs="Arial"/>
          <w:szCs w:val="24"/>
        </w:rPr>
        <w:t>Disclose d</w:t>
      </w:r>
      <w:r w:rsidR="00851467" w:rsidRPr="00D2583B">
        <w:rPr>
          <w:rFonts w:cs="Arial"/>
          <w:szCs w:val="24"/>
        </w:rPr>
        <w:t xml:space="preserve">eficit fund balance or net </w:t>
      </w:r>
      <w:r w:rsidR="00EC62F6" w:rsidRPr="00D2583B">
        <w:rPr>
          <w:rFonts w:cs="Arial"/>
          <w:szCs w:val="24"/>
        </w:rPr>
        <w:t>position</w:t>
      </w:r>
      <w:r w:rsidR="00851467" w:rsidRPr="00D2583B">
        <w:rPr>
          <w:rFonts w:cs="Arial"/>
          <w:szCs w:val="24"/>
        </w:rPr>
        <w:t xml:space="preserve"> of individual </w:t>
      </w:r>
      <w:r w:rsidR="008534D3" w:rsidRPr="00D2583B">
        <w:rPr>
          <w:rFonts w:cs="Arial"/>
          <w:szCs w:val="24"/>
        </w:rPr>
        <w:t xml:space="preserve">nonmajor </w:t>
      </w:r>
      <w:proofErr w:type="gramStart"/>
      <w:r w:rsidR="008534D3" w:rsidRPr="00D2583B">
        <w:rPr>
          <w:rFonts w:cs="Arial"/>
          <w:szCs w:val="24"/>
        </w:rPr>
        <w:t xml:space="preserve">funds </w:t>
      </w:r>
      <w:r w:rsidR="00CD3A15">
        <w:rPr>
          <w:rFonts w:cs="Arial"/>
          <w:szCs w:val="24"/>
        </w:rPr>
        <w:t xml:space="preserve"> because</w:t>
      </w:r>
      <w:proofErr w:type="gramEnd"/>
      <w:r w:rsidR="00CD3A15">
        <w:rPr>
          <w:rFonts w:cs="Arial"/>
          <w:szCs w:val="24"/>
        </w:rPr>
        <w:t xml:space="preserve"> </w:t>
      </w:r>
      <w:r w:rsidR="008534D3" w:rsidRPr="00D2583B">
        <w:rPr>
          <w:rFonts w:cs="Arial"/>
          <w:szCs w:val="24"/>
        </w:rPr>
        <w:t xml:space="preserve">it cannot be seen in the aggregated nonmajor funds column in the </w:t>
      </w:r>
      <w:r w:rsidR="00ED1919">
        <w:rPr>
          <w:rFonts w:cs="Arial"/>
          <w:szCs w:val="24"/>
        </w:rPr>
        <w:t xml:space="preserve">fund </w:t>
      </w:r>
      <w:r w:rsidR="008534D3" w:rsidRPr="00D2583B">
        <w:rPr>
          <w:rFonts w:cs="Arial"/>
          <w:szCs w:val="24"/>
        </w:rPr>
        <w:t>financial statements</w:t>
      </w:r>
      <w:r w:rsidR="00ED1919">
        <w:rPr>
          <w:rFonts w:cs="Arial"/>
          <w:szCs w:val="24"/>
        </w:rPr>
        <w:t>.</w:t>
      </w:r>
      <w:r w:rsidR="00851467" w:rsidRPr="00D2583B">
        <w:rPr>
          <w:rFonts w:cs="Arial"/>
          <w:szCs w:val="24"/>
        </w:rPr>
        <w:t xml:space="preserve"> (GASB Cod. §2300</w:t>
      </w:r>
      <w:r w:rsidR="00ED1919">
        <w:rPr>
          <w:rFonts w:cs="Arial"/>
          <w:szCs w:val="24"/>
        </w:rPr>
        <w:t xml:space="preserve">, </w:t>
      </w:r>
      <w:r w:rsidR="00ED1919" w:rsidRPr="00D2583B">
        <w:rPr>
          <w:rFonts w:cs="Arial"/>
          <w:szCs w:val="24"/>
        </w:rPr>
        <w:t>¶</w:t>
      </w:r>
      <w:r w:rsidR="00ED1919">
        <w:rPr>
          <w:rFonts w:cs="Arial"/>
          <w:szCs w:val="24"/>
        </w:rPr>
        <w:t>.106</w:t>
      </w:r>
      <w:r w:rsidR="00851467" w:rsidRPr="00D2583B">
        <w:rPr>
          <w:rFonts w:cs="Arial"/>
          <w:szCs w:val="24"/>
        </w:rPr>
        <w:t>)</w:t>
      </w:r>
    </w:p>
    <w:p w14:paraId="700D630B" w14:textId="77777777" w:rsidR="00851467" w:rsidRPr="000B3B55" w:rsidRDefault="00851467" w:rsidP="00FD0CF5">
      <w:pPr>
        <w:pStyle w:val="Heading1"/>
        <w:jc w:val="left"/>
      </w:pPr>
      <w:r w:rsidRPr="000B3B55">
        <w:t>Detailed notes</w:t>
      </w:r>
    </w:p>
    <w:p w14:paraId="700D630C" w14:textId="238AF327" w:rsidR="00851467" w:rsidRPr="00D2583B" w:rsidRDefault="00851467" w:rsidP="007E6A60">
      <w:pPr>
        <w:pStyle w:val="BodyTextIndent2"/>
        <w:numPr>
          <w:ilvl w:val="6"/>
          <w:numId w:val="14"/>
        </w:numPr>
        <w:tabs>
          <w:tab w:val="clear" w:pos="2520"/>
          <w:tab w:val="left" w:pos="-6390"/>
          <w:tab w:val="left" w:pos="-6300"/>
          <w:tab w:val="num" w:pos="450"/>
        </w:tabs>
        <w:spacing w:after="120"/>
        <w:ind w:hanging="2430"/>
        <w:jc w:val="left"/>
        <w:outlineLvl w:val="0"/>
        <w:rPr>
          <w:rFonts w:cs="Arial"/>
          <w:szCs w:val="24"/>
        </w:rPr>
      </w:pPr>
      <w:r w:rsidRPr="00D2583B">
        <w:rPr>
          <w:rFonts w:cs="Arial"/>
          <w:szCs w:val="24"/>
        </w:rPr>
        <w:t>Assets</w:t>
      </w:r>
      <w:r w:rsidR="003B783F">
        <w:rPr>
          <w:rFonts w:cs="Arial"/>
          <w:szCs w:val="24"/>
        </w:rPr>
        <w:t xml:space="preserve"> and deferred outflows of resources</w:t>
      </w:r>
      <w:r w:rsidR="00472801">
        <w:rPr>
          <w:rFonts w:cs="Arial"/>
          <w:szCs w:val="24"/>
        </w:rPr>
        <w:t>:</w:t>
      </w:r>
    </w:p>
    <w:p w14:paraId="700D630D" w14:textId="2F5F453E" w:rsidR="00851467" w:rsidRPr="00D2583B" w:rsidRDefault="00851467" w:rsidP="007E6A60">
      <w:pPr>
        <w:pStyle w:val="BodyTextIndent2"/>
        <w:numPr>
          <w:ilvl w:val="1"/>
          <w:numId w:val="14"/>
        </w:numPr>
        <w:tabs>
          <w:tab w:val="left" w:pos="-6210"/>
        </w:tabs>
        <w:spacing w:after="120"/>
        <w:jc w:val="left"/>
        <w:outlineLvl w:val="1"/>
        <w:rPr>
          <w:rFonts w:cs="Arial"/>
          <w:szCs w:val="24"/>
        </w:rPr>
      </w:pPr>
      <w:r w:rsidRPr="00D2583B">
        <w:rPr>
          <w:rFonts w:cs="Arial"/>
          <w:szCs w:val="24"/>
        </w:rPr>
        <w:t>Deposits and investments</w:t>
      </w:r>
      <w:r w:rsidR="00B163F7">
        <w:rPr>
          <w:rFonts w:cs="Arial"/>
          <w:szCs w:val="24"/>
        </w:rPr>
        <w:t>:</w:t>
      </w:r>
      <w:r w:rsidRPr="00D2583B">
        <w:rPr>
          <w:rFonts w:cs="Arial"/>
          <w:szCs w:val="24"/>
        </w:rPr>
        <w:t xml:space="preserve"> (GASB Cod. §§C20, I50, I55, and I60)</w:t>
      </w:r>
    </w:p>
    <w:p w14:paraId="700D630E" w14:textId="3D02A28B"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Legal authorization/contractual provisions/violations; also see </w:t>
      </w:r>
      <w:r w:rsidR="001537A8" w:rsidRPr="00D2583B">
        <w:rPr>
          <w:rFonts w:cs="Arial"/>
          <w:szCs w:val="24"/>
        </w:rPr>
        <w:t>Arizona Revised Statutes (</w:t>
      </w:r>
      <w:r w:rsidRPr="00D2583B">
        <w:rPr>
          <w:rFonts w:cs="Arial"/>
          <w:szCs w:val="24"/>
        </w:rPr>
        <w:t>A.R.S.</w:t>
      </w:r>
      <w:r w:rsidR="001537A8" w:rsidRPr="00D2583B">
        <w:rPr>
          <w:rFonts w:cs="Arial"/>
          <w:szCs w:val="24"/>
        </w:rPr>
        <w:t>)</w:t>
      </w:r>
      <w:r w:rsidRPr="00D2583B">
        <w:rPr>
          <w:rFonts w:cs="Arial"/>
          <w:szCs w:val="24"/>
        </w:rPr>
        <w:t xml:space="preserve"> §</w:t>
      </w:r>
      <w:r w:rsidR="00F14017" w:rsidRPr="00D2583B">
        <w:rPr>
          <w:rFonts w:cs="Arial"/>
          <w:szCs w:val="24"/>
        </w:rPr>
        <w:t>15-996</w:t>
      </w:r>
      <w:r w:rsidR="00B163F7">
        <w:rPr>
          <w:rFonts w:cs="Arial"/>
          <w:szCs w:val="24"/>
        </w:rPr>
        <w:t>.</w:t>
      </w:r>
    </w:p>
    <w:p w14:paraId="700D630F" w14:textId="2134A694" w:rsidR="00851467" w:rsidRPr="00D2583B" w:rsidRDefault="00DB10E6"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Cash deposits</w:t>
      </w:r>
      <w:r w:rsidR="009C331B" w:rsidRPr="00D2583B">
        <w:rPr>
          <w:rFonts w:cs="Arial"/>
          <w:szCs w:val="24"/>
        </w:rPr>
        <w:t xml:space="preserve"> </w:t>
      </w:r>
      <w:r w:rsidR="008B2C2C" w:rsidRPr="00D2583B">
        <w:rPr>
          <w:rFonts w:cs="Arial"/>
          <w:szCs w:val="24"/>
        </w:rPr>
        <w:t>(</w:t>
      </w:r>
      <w:r w:rsidR="009C331B" w:rsidRPr="00D2583B">
        <w:rPr>
          <w:rFonts w:cs="Arial"/>
          <w:szCs w:val="24"/>
        </w:rPr>
        <w:t>GASB Cod. §C20</w:t>
      </w:r>
      <w:r w:rsidR="00ED1919">
        <w:rPr>
          <w:rFonts w:cs="Arial"/>
          <w:szCs w:val="24"/>
        </w:rPr>
        <w:t>,</w:t>
      </w:r>
      <w:r w:rsidR="008B2C2C" w:rsidRPr="00D2583B">
        <w:rPr>
          <w:rFonts w:cs="Arial"/>
          <w:szCs w:val="24"/>
        </w:rPr>
        <w:t xml:space="preserve"> and GASB 3 and 40</w:t>
      </w:r>
      <w:r w:rsidR="009C331B" w:rsidRPr="00D2583B">
        <w:rPr>
          <w:rFonts w:cs="Arial"/>
          <w:szCs w:val="24"/>
        </w:rPr>
        <w:t>)</w:t>
      </w:r>
      <w:r w:rsidR="004449D9" w:rsidRPr="00D2583B">
        <w:rPr>
          <w:rFonts w:cs="Arial"/>
          <w:szCs w:val="24"/>
        </w:rPr>
        <w:t>:</w:t>
      </w:r>
    </w:p>
    <w:p w14:paraId="700D6310" w14:textId="229CC195" w:rsidR="00DB10E6"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If the District’s deposits held at year-end were exposed to custodial credit risk</w:t>
      </w:r>
      <w:r w:rsidR="006C73E5">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1" w14:textId="43B8335D" w:rsidR="00E65D98" w:rsidRPr="00B43FA3" w:rsidRDefault="00DB10E6"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Custodial credit risk—amount of deposits at the fiscal year</w:t>
      </w:r>
      <w:r w:rsidR="004A35E5" w:rsidRPr="00B43FA3">
        <w:rPr>
          <w:rFonts w:cs="Arial"/>
          <w:szCs w:val="24"/>
        </w:rPr>
        <w:t>-</w:t>
      </w:r>
      <w:r w:rsidRPr="00B43FA3">
        <w:rPr>
          <w:rFonts w:cs="Arial"/>
          <w:szCs w:val="24"/>
        </w:rPr>
        <w:t>end exposed to custodial credit risk (i.e., category 3)</w:t>
      </w:r>
      <w:r w:rsidR="008E3833">
        <w:rPr>
          <w:rFonts w:cs="Arial"/>
          <w:szCs w:val="24"/>
        </w:rPr>
        <w:t>.</w:t>
      </w:r>
    </w:p>
    <w:p w14:paraId="700D6312" w14:textId="1B9C72A8" w:rsidR="00851467" w:rsidRPr="00B43FA3" w:rsidRDefault="00E65D98" w:rsidP="007E6A60">
      <w:pPr>
        <w:pStyle w:val="BodyTextIndent2"/>
        <w:numPr>
          <w:ilvl w:val="2"/>
          <w:numId w:val="16"/>
        </w:numPr>
        <w:tabs>
          <w:tab w:val="left" w:pos="-6390"/>
          <w:tab w:val="left" w:pos="-6300"/>
        </w:tabs>
        <w:spacing w:after="120"/>
        <w:jc w:val="left"/>
        <w:outlineLvl w:val="2"/>
        <w:rPr>
          <w:rFonts w:cs="Arial"/>
          <w:szCs w:val="24"/>
        </w:rPr>
      </w:pPr>
      <w:r w:rsidRPr="00B43FA3">
        <w:rPr>
          <w:rFonts w:cs="Arial"/>
          <w:szCs w:val="24"/>
        </w:rPr>
        <w:t>Investments</w:t>
      </w:r>
      <w:r w:rsidR="00A04725" w:rsidRPr="00B43FA3">
        <w:rPr>
          <w:rFonts w:cs="Arial"/>
          <w:szCs w:val="24"/>
        </w:rPr>
        <w:t xml:space="preserve"> </w:t>
      </w:r>
      <w:r w:rsidR="00E97DB0" w:rsidRPr="00B43FA3">
        <w:rPr>
          <w:rFonts w:cs="Arial"/>
          <w:szCs w:val="24"/>
        </w:rPr>
        <w:t>(</w:t>
      </w:r>
      <w:r w:rsidR="00A04725" w:rsidRPr="00B43FA3">
        <w:rPr>
          <w:rFonts w:cs="Arial"/>
          <w:szCs w:val="24"/>
        </w:rPr>
        <w:t>GASB Cod. §§I50, I55, and I60</w:t>
      </w:r>
      <w:r w:rsidR="00E97DB0" w:rsidRPr="00B43FA3">
        <w:rPr>
          <w:rFonts w:cs="Arial"/>
          <w:szCs w:val="24"/>
        </w:rPr>
        <w:t>, and GASB 3, 31, and 40</w:t>
      </w:r>
      <w:r w:rsidR="00A04725" w:rsidRPr="00B43FA3">
        <w:rPr>
          <w:rFonts w:cs="Arial"/>
          <w:szCs w:val="24"/>
        </w:rPr>
        <w:t>)</w:t>
      </w:r>
      <w:r w:rsidR="00AB6613">
        <w:rPr>
          <w:rFonts w:cs="Arial"/>
          <w:szCs w:val="24"/>
        </w:rPr>
        <w:t>:</w:t>
      </w:r>
    </w:p>
    <w:p w14:paraId="700D6313" w14:textId="4ECA50F2" w:rsidR="00E65D98" w:rsidRPr="00B43FA3" w:rsidRDefault="00B653CA" w:rsidP="007E6A60">
      <w:pPr>
        <w:pStyle w:val="BodyTextIndent2"/>
        <w:numPr>
          <w:ilvl w:val="3"/>
          <w:numId w:val="16"/>
        </w:numPr>
        <w:tabs>
          <w:tab w:val="left" w:pos="-6390"/>
          <w:tab w:val="left" w:pos="-6300"/>
        </w:tabs>
        <w:spacing w:after="120"/>
        <w:jc w:val="left"/>
        <w:outlineLvl w:val="3"/>
        <w:rPr>
          <w:rFonts w:cs="Arial"/>
          <w:szCs w:val="24"/>
        </w:rPr>
      </w:pPr>
      <w:r w:rsidRPr="00B43FA3">
        <w:rPr>
          <w:rFonts w:cs="Arial"/>
          <w:szCs w:val="24"/>
        </w:rPr>
        <w:t xml:space="preserve">If the District’s investments held at year-end were exposed to credit risk, custodial credit risk, concentration of credit risk, interest rate risk, </w:t>
      </w:r>
      <w:r w:rsidRPr="00B43FA3">
        <w:rPr>
          <w:rFonts w:cs="Arial"/>
          <w:szCs w:val="24"/>
        </w:rPr>
        <w:lastRenderedPageBreak/>
        <w:t>or foreign currency risk</w:t>
      </w:r>
      <w:r w:rsidR="007D6306">
        <w:rPr>
          <w:rFonts w:cs="Arial"/>
          <w:szCs w:val="24"/>
        </w:rPr>
        <w:t>,</w:t>
      </w:r>
      <w:r w:rsidRPr="00B43FA3">
        <w:rPr>
          <w:rFonts w:cs="Arial"/>
          <w:szCs w:val="24"/>
        </w:rPr>
        <w:t xml:space="preserve"> disclose the </w:t>
      </w:r>
      <w:proofErr w:type="gramStart"/>
      <w:r w:rsidRPr="00B43FA3">
        <w:rPr>
          <w:rFonts w:cs="Arial"/>
          <w:szCs w:val="24"/>
        </w:rPr>
        <w:t>District's</w:t>
      </w:r>
      <w:proofErr w:type="gramEnd"/>
      <w:r w:rsidRPr="00B43FA3">
        <w:rPr>
          <w:rFonts w:cs="Arial"/>
          <w:szCs w:val="24"/>
        </w:rPr>
        <w:t xml:space="preserve"> formal policy with respect to these risks or indicate that it does not have one</w:t>
      </w:r>
      <w:r w:rsidR="007D6306">
        <w:rPr>
          <w:rFonts w:cs="Arial"/>
          <w:szCs w:val="24"/>
        </w:rPr>
        <w:t>.</w:t>
      </w:r>
      <w:r w:rsidRPr="00B43FA3">
        <w:rPr>
          <w:rFonts w:cs="Arial"/>
          <w:szCs w:val="24"/>
        </w:rPr>
        <w:t xml:space="preserve"> (GASB 40)</w:t>
      </w:r>
    </w:p>
    <w:p w14:paraId="700D6314" w14:textId="3A1DBB36"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Credit risk for investments</w:t>
      </w:r>
      <w:r w:rsidR="00ED1919" w:rsidRPr="00ED1919">
        <w:rPr>
          <w:rFonts w:cs="Arial"/>
          <w:szCs w:val="24"/>
        </w:rPr>
        <w:t xml:space="preserve">—disclose the credit quality rating of the </w:t>
      </w:r>
      <w:proofErr w:type="gramStart"/>
      <w:r w:rsidR="00ED1919" w:rsidRPr="00ED1919">
        <w:rPr>
          <w:rFonts w:cs="Arial"/>
          <w:szCs w:val="24"/>
        </w:rPr>
        <w:t>District's</w:t>
      </w:r>
      <w:proofErr w:type="gramEnd"/>
      <w:r w:rsidR="00ED1919" w:rsidRPr="00ED1919">
        <w:rPr>
          <w:rFonts w:cs="Arial"/>
          <w:szCs w:val="24"/>
        </w:rPr>
        <w:t xml:space="preserve"> investments in debt securities</w:t>
      </w:r>
      <w:r w:rsidR="007D6306">
        <w:rPr>
          <w:rFonts w:cs="Arial"/>
          <w:szCs w:val="24"/>
        </w:rPr>
        <w:t>.</w:t>
      </w:r>
      <w:r w:rsidR="00ED1919" w:rsidRPr="00ED1919">
        <w:rPr>
          <w:rFonts w:cs="Arial"/>
          <w:szCs w:val="24"/>
        </w:rPr>
        <w:t xml:space="preserve"> </w:t>
      </w:r>
      <w:r w:rsidRPr="00D2583B">
        <w:rPr>
          <w:rFonts w:cs="Arial"/>
          <w:szCs w:val="24"/>
        </w:rPr>
        <w:t xml:space="preserve"> </w:t>
      </w:r>
    </w:p>
    <w:p w14:paraId="700D6315" w14:textId="3EED480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Custodial credit risk—</w:t>
      </w:r>
      <w:r w:rsidR="00ED1919">
        <w:rPr>
          <w:rFonts w:cs="Arial"/>
          <w:szCs w:val="24"/>
        </w:rPr>
        <w:t xml:space="preserve">disclose types and </w:t>
      </w:r>
      <w:r w:rsidRPr="00D2583B">
        <w:rPr>
          <w:rFonts w:cs="Arial"/>
          <w:szCs w:val="24"/>
        </w:rPr>
        <w:t>amount</w:t>
      </w:r>
      <w:r w:rsidR="00ED1919">
        <w:rPr>
          <w:rFonts w:cs="Arial"/>
          <w:szCs w:val="24"/>
        </w:rPr>
        <w:t>s</w:t>
      </w:r>
      <w:r w:rsidRPr="00D2583B">
        <w:rPr>
          <w:rFonts w:cs="Arial"/>
          <w:szCs w:val="24"/>
        </w:rPr>
        <w:t xml:space="preserve"> of investments at the fiscal year</w:t>
      </w:r>
      <w:r w:rsidR="004A35E5">
        <w:rPr>
          <w:rFonts w:cs="Arial"/>
          <w:szCs w:val="24"/>
        </w:rPr>
        <w:t>-</w:t>
      </w:r>
      <w:r w:rsidRPr="00D2583B">
        <w:rPr>
          <w:rFonts w:cs="Arial"/>
          <w:szCs w:val="24"/>
        </w:rPr>
        <w:t>end exposed to custodial credit risk (i.e., category 3)</w:t>
      </w:r>
      <w:r w:rsidR="007D6306">
        <w:rPr>
          <w:rFonts w:cs="Arial"/>
          <w:szCs w:val="24"/>
        </w:rPr>
        <w:t>.</w:t>
      </w:r>
      <w:r w:rsidRPr="00D2583B">
        <w:rPr>
          <w:rFonts w:cs="Arial"/>
          <w:szCs w:val="24"/>
        </w:rPr>
        <w:t xml:space="preserve"> </w:t>
      </w:r>
    </w:p>
    <w:p w14:paraId="700D6316" w14:textId="2BEAAC48"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Concentration of credit risk for investments</w:t>
      </w:r>
      <w:r w:rsidR="00ED1919" w:rsidRPr="00ED1919">
        <w:rPr>
          <w:rFonts w:cs="Arial"/>
          <w:szCs w:val="24"/>
        </w:rPr>
        <w:t>—</w:t>
      </w:r>
      <w:proofErr w:type="gramStart"/>
      <w:r w:rsidR="00ED1919" w:rsidRPr="00ED1919">
        <w:rPr>
          <w:rFonts w:cs="Arial"/>
          <w:szCs w:val="24"/>
        </w:rPr>
        <w:t>disclose</w:t>
      </w:r>
      <w:proofErr w:type="gramEnd"/>
      <w:r w:rsidR="00ED1919" w:rsidRPr="00ED1919">
        <w:rPr>
          <w:rFonts w:cs="Arial"/>
          <w:szCs w:val="24"/>
        </w:rPr>
        <w:t xml:space="preserve"> by amount and issuer, investments in any one issuer that represent 5 percent or more of total investments</w:t>
      </w:r>
      <w:r w:rsidR="00907A50">
        <w:rPr>
          <w:rFonts w:cs="Arial"/>
          <w:szCs w:val="24"/>
        </w:rPr>
        <w:t>,</w:t>
      </w:r>
      <w:r w:rsidR="00ED1919" w:rsidRPr="00ED1919">
        <w:rPr>
          <w:rFonts w:cs="Arial"/>
          <w:szCs w:val="24"/>
        </w:rPr>
        <w:t xml:space="preserve"> excluding certain specified investments</w:t>
      </w:r>
      <w:r w:rsidR="002B40A0">
        <w:rPr>
          <w:rFonts w:cs="Arial"/>
          <w:szCs w:val="24"/>
        </w:rPr>
        <w:t>.</w:t>
      </w:r>
      <w:r w:rsidRPr="00D2583B">
        <w:rPr>
          <w:rFonts w:cs="Arial"/>
          <w:szCs w:val="24"/>
        </w:rPr>
        <w:t xml:space="preserve"> </w:t>
      </w:r>
    </w:p>
    <w:p w14:paraId="700D6317" w14:textId="2D314539"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Interest rate risk for investments</w:t>
      </w:r>
      <w:r w:rsidR="00907A50" w:rsidRPr="00907A50">
        <w:rPr>
          <w:rFonts w:cs="Arial"/>
          <w:szCs w:val="24"/>
        </w:rPr>
        <w:t xml:space="preserve">—disclose the interest rate risk of the </w:t>
      </w:r>
      <w:proofErr w:type="gramStart"/>
      <w:r w:rsidR="00907A50" w:rsidRPr="00907A50">
        <w:rPr>
          <w:rFonts w:cs="Arial"/>
          <w:szCs w:val="24"/>
        </w:rPr>
        <w:t>District's</w:t>
      </w:r>
      <w:proofErr w:type="gramEnd"/>
      <w:r w:rsidR="00907A50" w:rsidRPr="00907A50">
        <w:rPr>
          <w:rFonts w:cs="Arial"/>
          <w:szCs w:val="24"/>
        </w:rPr>
        <w:t xml:space="preserve"> investments in debt securities</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8" w14:textId="3646B699" w:rsidR="00171C0F" w:rsidRPr="00D2583B" w:rsidRDefault="00171C0F"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Foreign currency risk for investments</w:t>
      </w:r>
      <w:r w:rsidR="00907A50" w:rsidRPr="00907A50">
        <w:rPr>
          <w:rFonts w:cs="Arial"/>
          <w:szCs w:val="24"/>
        </w:rPr>
        <w:t>—disclose the U.S. dollar balances of such deposits or investments, organized by currency denomination and, if applicable, investment type</w:t>
      </w:r>
      <w:r w:rsidR="002B40A0">
        <w:rPr>
          <w:rFonts w:cs="Arial"/>
          <w:szCs w:val="24"/>
        </w:rPr>
        <w:t>.</w:t>
      </w:r>
      <w:r w:rsidR="00907A50" w:rsidRPr="00907A50">
        <w:rPr>
          <w:rFonts w:cs="Arial"/>
          <w:szCs w:val="24"/>
        </w:rPr>
        <w:t xml:space="preserve"> </w:t>
      </w:r>
      <w:r w:rsidRPr="00D2583B">
        <w:rPr>
          <w:rFonts w:cs="Arial"/>
          <w:szCs w:val="24"/>
        </w:rPr>
        <w:t xml:space="preserve"> </w:t>
      </w:r>
    </w:p>
    <w:p w14:paraId="700D6319" w14:textId="175C796D" w:rsidR="00E65D98" w:rsidRPr="00D2583B" w:rsidRDefault="00E65D98"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Deposit and investment risk disclosures should also be made for governmental and business-type activities, individual major funds, nonmajor funds in the aggregate, or fiduciary fund types when the risk exposures are significantly greater than the deposit and investment risks of the primary government.</w:t>
      </w:r>
      <w:r w:rsidR="00A04725" w:rsidRPr="00D2583B">
        <w:rPr>
          <w:rFonts w:cs="Arial"/>
          <w:szCs w:val="24"/>
        </w:rPr>
        <w:t xml:space="preserve"> (GASB 40, ¶5)</w:t>
      </w:r>
    </w:p>
    <w:p w14:paraId="700D631A" w14:textId="239E6A15" w:rsidR="00E65D98"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Oversight for external investment pools</w:t>
      </w:r>
      <w:r w:rsidR="00803AAD">
        <w:rPr>
          <w:rFonts w:cs="Arial"/>
          <w:szCs w:val="24"/>
        </w:rPr>
        <w:t>.</w:t>
      </w:r>
    </w:p>
    <w:p w14:paraId="700D631B" w14:textId="02072F8A" w:rsidR="00975A9B" w:rsidRPr="00D2583B" w:rsidRDefault="00851467" w:rsidP="007E6A60">
      <w:pPr>
        <w:pStyle w:val="BodyTextIndent2"/>
        <w:numPr>
          <w:ilvl w:val="3"/>
          <w:numId w:val="16"/>
        </w:numPr>
        <w:tabs>
          <w:tab w:val="left" w:pos="-6390"/>
          <w:tab w:val="left" w:pos="-6300"/>
        </w:tabs>
        <w:spacing w:after="120"/>
        <w:jc w:val="left"/>
        <w:outlineLvl w:val="3"/>
        <w:rPr>
          <w:rFonts w:cs="Arial"/>
          <w:szCs w:val="24"/>
        </w:rPr>
      </w:pPr>
      <w:r w:rsidRPr="00D2583B">
        <w:rPr>
          <w:rFonts w:cs="Arial"/>
          <w:szCs w:val="24"/>
        </w:rPr>
        <w:t xml:space="preserve">Method of estimating fair value of investments in a pool and reason for making the </w:t>
      </w:r>
      <w:proofErr w:type="gramStart"/>
      <w:r w:rsidRPr="00D2583B">
        <w:rPr>
          <w:rFonts w:cs="Arial"/>
          <w:szCs w:val="24"/>
        </w:rPr>
        <w:t>estimate, if</w:t>
      </w:r>
      <w:proofErr w:type="gramEnd"/>
      <w:r w:rsidRPr="00D2583B">
        <w:rPr>
          <w:rFonts w:cs="Arial"/>
          <w:szCs w:val="24"/>
        </w:rPr>
        <w:t xml:space="preserve"> pool sponsor does not provide fair value information</w:t>
      </w:r>
      <w:r w:rsidR="00907A50">
        <w:rPr>
          <w:rFonts w:cs="Arial"/>
          <w:szCs w:val="24"/>
        </w:rPr>
        <w:t>.</w:t>
      </w:r>
    </w:p>
    <w:p w14:paraId="700D631C" w14:textId="73312A19" w:rsidR="00851467" w:rsidRPr="00D2583B"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 xml:space="preserve">Reverse </w:t>
      </w:r>
      <w:proofErr w:type="gramStart"/>
      <w:r w:rsidRPr="00D2583B">
        <w:rPr>
          <w:rFonts w:cs="Arial"/>
          <w:szCs w:val="24"/>
        </w:rPr>
        <w:t>repurchase</w:t>
      </w:r>
      <w:proofErr w:type="gramEnd"/>
      <w:r w:rsidRPr="00D2583B">
        <w:rPr>
          <w:rFonts w:cs="Arial"/>
          <w:szCs w:val="24"/>
        </w:rPr>
        <w:t xml:space="preserve"> agreements</w:t>
      </w:r>
      <w:r w:rsidR="00C515BE">
        <w:rPr>
          <w:rFonts w:cs="Arial"/>
          <w:szCs w:val="24"/>
        </w:rPr>
        <w:t>.</w:t>
      </w:r>
    </w:p>
    <w:p w14:paraId="700D631D" w14:textId="161B52FE" w:rsidR="00851467" w:rsidRDefault="00851467" w:rsidP="007E6A60">
      <w:pPr>
        <w:pStyle w:val="BodyTextIndent2"/>
        <w:numPr>
          <w:ilvl w:val="2"/>
          <w:numId w:val="16"/>
        </w:numPr>
        <w:tabs>
          <w:tab w:val="left" w:pos="-6390"/>
          <w:tab w:val="left" w:pos="-6300"/>
        </w:tabs>
        <w:spacing w:after="120"/>
        <w:jc w:val="left"/>
        <w:outlineLvl w:val="2"/>
        <w:rPr>
          <w:rFonts w:cs="Arial"/>
          <w:szCs w:val="24"/>
        </w:rPr>
      </w:pPr>
      <w:r w:rsidRPr="00D2583B">
        <w:rPr>
          <w:rFonts w:cs="Arial"/>
          <w:szCs w:val="24"/>
        </w:rPr>
        <w:t>Securities lending transactions</w:t>
      </w:r>
      <w:r w:rsidR="00C515BE">
        <w:rPr>
          <w:rFonts w:cs="Arial"/>
          <w:szCs w:val="24"/>
        </w:rPr>
        <w:t>.</w:t>
      </w:r>
    </w:p>
    <w:p w14:paraId="5765BE1A" w14:textId="2432A119" w:rsidR="00D74701" w:rsidRPr="00835FB3" w:rsidRDefault="00D74701" w:rsidP="007E6A60">
      <w:pPr>
        <w:pStyle w:val="BodyTextIndent2"/>
        <w:numPr>
          <w:ilvl w:val="1"/>
          <w:numId w:val="14"/>
        </w:numPr>
        <w:tabs>
          <w:tab w:val="left" w:pos="-6210"/>
        </w:tabs>
        <w:spacing w:after="120"/>
        <w:jc w:val="left"/>
        <w:outlineLvl w:val="1"/>
        <w:rPr>
          <w:rFonts w:cs="Arial"/>
          <w:szCs w:val="24"/>
        </w:rPr>
      </w:pPr>
      <w:r w:rsidRPr="00835FB3">
        <w:rPr>
          <w:rFonts w:cs="Arial"/>
          <w:szCs w:val="24"/>
        </w:rPr>
        <w:t xml:space="preserve">Fair value measurement for assets and liabilities </w:t>
      </w:r>
      <w:r w:rsidR="00092C7B" w:rsidRPr="00835FB3">
        <w:rPr>
          <w:rFonts w:cs="Arial"/>
          <w:szCs w:val="24"/>
        </w:rPr>
        <w:t xml:space="preserve">measured at fair value </w:t>
      </w:r>
      <w:r w:rsidR="00907A50" w:rsidRPr="00907A50">
        <w:rPr>
          <w:rFonts w:cs="Arial"/>
          <w:szCs w:val="24"/>
        </w:rPr>
        <w:t>(GASB Cod. §3100 and GASB 72)</w:t>
      </w:r>
      <w:r w:rsidR="003F6BAE">
        <w:rPr>
          <w:rFonts w:cs="Arial"/>
          <w:szCs w:val="24"/>
        </w:rPr>
        <w:t>:</w:t>
      </w:r>
    </w:p>
    <w:p w14:paraId="6E62D831" w14:textId="521F1B4B"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fair value measurement at the end of the year</w:t>
      </w:r>
      <w:r w:rsidR="00D42CA7">
        <w:rPr>
          <w:rFonts w:cs="Arial"/>
          <w:szCs w:val="24"/>
        </w:rPr>
        <w:t>.</w:t>
      </w:r>
    </w:p>
    <w:p w14:paraId="48DE9775" w14:textId="530313B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The level of the fair value hierarchy within which the fair value measurements are categorized (Levels 1, 2, or 3)</w:t>
      </w:r>
      <w:r w:rsidR="00D42CA7">
        <w:rPr>
          <w:rFonts w:cs="Arial"/>
          <w:szCs w:val="24"/>
        </w:rPr>
        <w:t>.</w:t>
      </w:r>
    </w:p>
    <w:p w14:paraId="2018BF86" w14:textId="13F00565"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 xml:space="preserve">A description of the valuation techniques used in </w:t>
      </w:r>
      <w:proofErr w:type="gramStart"/>
      <w:r w:rsidRPr="00835FB3">
        <w:rPr>
          <w:rFonts w:cs="Arial"/>
          <w:szCs w:val="24"/>
        </w:rPr>
        <w:t>the fair</w:t>
      </w:r>
      <w:proofErr w:type="gramEnd"/>
      <w:r w:rsidRPr="00835FB3">
        <w:rPr>
          <w:rFonts w:cs="Arial"/>
          <w:szCs w:val="24"/>
        </w:rPr>
        <w:t xml:space="preserve"> value measurement</w:t>
      </w:r>
      <w:r w:rsidR="00D42CA7">
        <w:rPr>
          <w:rFonts w:cs="Arial"/>
          <w:szCs w:val="24"/>
        </w:rPr>
        <w:t>.</w:t>
      </w:r>
    </w:p>
    <w:p w14:paraId="6D0FC1BA" w14:textId="562A2187" w:rsidR="00D74701" w:rsidRPr="00835FB3" w:rsidRDefault="00D74701" w:rsidP="007E6A60">
      <w:pPr>
        <w:pStyle w:val="BodyTextIndent2"/>
        <w:numPr>
          <w:ilvl w:val="2"/>
          <w:numId w:val="14"/>
        </w:numPr>
        <w:tabs>
          <w:tab w:val="left" w:pos="-6390"/>
          <w:tab w:val="left" w:pos="-6300"/>
        </w:tabs>
        <w:spacing w:after="120"/>
        <w:jc w:val="left"/>
        <w:outlineLvl w:val="2"/>
        <w:rPr>
          <w:rFonts w:cs="Arial"/>
          <w:szCs w:val="24"/>
        </w:rPr>
      </w:pPr>
      <w:r w:rsidRPr="00835FB3">
        <w:rPr>
          <w:rFonts w:cs="Arial"/>
          <w:szCs w:val="24"/>
        </w:rPr>
        <w:t>Change in valuation technique that has a significant effect on the result, the specific change, and the reason for making it</w:t>
      </w:r>
      <w:r w:rsidR="0053553C">
        <w:rPr>
          <w:rFonts w:cs="Arial"/>
          <w:szCs w:val="24"/>
        </w:rPr>
        <w:t>.</w:t>
      </w:r>
    </w:p>
    <w:p w14:paraId="5CACE676" w14:textId="344E70D5" w:rsidR="00D913E9" w:rsidRDefault="00D913E9" w:rsidP="007E6A60">
      <w:pPr>
        <w:pStyle w:val="BodyTextIndent2"/>
        <w:numPr>
          <w:ilvl w:val="1"/>
          <w:numId w:val="14"/>
        </w:numPr>
        <w:tabs>
          <w:tab w:val="left" w:pos="-6210"/>
        </w:tabs>
        <w:spacing w:after="120"/>
        <w:jc w:val="left"/>
        <w:outlineLvl w:val="1"/>
        <w:rPr>
          <w:rFonts w:cs="Arial"/>
          <w:szCs w:val="24"/>
        </w:rPr>
      </w:pPr>
      <w:r>
        <w:rPr>
          <w:rFonts w:cs="Arial"/>
          <w:szCs w:val="24"/>
        </w:rPr>
        <w:t>Receivables</w:t>
      </w:r>
      <w:r w:rsidR="00916312">
        <w:rPr>
          <w:rFonts w:cs="Arial"/>
          <w:szCs w:val="24"/>
        </w:rPr>
        <w:t>:</w:t>
      </w:r>
    </w:p>
    <w:p w14:paraId="02C74B5C" w14:textId="05618958"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Details about major components of receivable balances when obscured by aggregation and identification of receivable balances </w:t>
      </w:r>
      <w:proofErr w:type="gramStart"/>
      <w:r>
        <w:rPr>
          <w:rFonts w:cs="Arial"/>
          <w:szCs w:val="24"/>
        </w:rPr>
        <w:t>not</w:t>
      </w:r>
      <w:proofErr w:type="gramEnd"/>
      <w:r>
        <w:rPr>
          <w:rFonts w:cs="Arial"/>
          <w:szCs w:val="24"/>
        </w:rPr>
        <w:t xml:space="preserve"> expected to be collected with</w:t>
      </w:r>
      <w:r w:rsidR="004F4125">
        <w:rPr>
          <w:rFonts w:cs="Arial"/>
          <w:szCs w:val="24"/>
        </w:rPr>
        <w:t>in</w:t>
      </w:r>
      <w:r>
        <w:rPr>
          <w:rFonts w:cs="Arial"/>
          <w:szCs w:val="24"/>
        </w:rPr>
        <w:t xml:space="preserve"> 1 year</w:t>
      </w:r>
      <w:r w:rsidR="00D42CA7">
        <w:rPr>
          <w:rFonts w:cs="Arial"/>
          <w:szCs w:val="24"/>
        </w:rPr>
        <w:t>.</w:t>
      </w:r>
      <w:r>
        <w:rPr>
          <w:rFonts w:cs="Arial"/>
          <w:szCs w:val="24"/>
        </w:rPr>
        <w:t xml:space="preserve"> </w:t>
      </w:r>
      <w:r w:rsidR="00907A50" w:rsidRPr="00907A50">
        <w:rPr>
          <w:rFonts w:cs="Arial"/>
          <w:szCs w:val="24"/>
        </w:rPr>
        <w:t xml:space="preserve">(GASB Cod. §2300, ¶.125 and GASB 38, ¶13) </w:t>
      </w:r>
    </w:p>
    <w:p w14:paraId="1C0A9F06" w14:textId="3BD5185E" w:rsidR="00D913E9" w:rsidRDefault="00D913E9"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Allowances for </w:t>
      </w:r>
      <w:proofErr w:type="spellStart"/>
      <w:r>
        <w:rPr>
          <w:rFonts w:cs="Arial"/>
          <w:szCs w:val="24"/>
        </w:rPr>
        <w:t>uncollectible</w:t>
      </w:r>
      <w:r w:rsidR="00974589">
        <w:rPr>
          <w:rFonts w:cs="Arial"/>
          <w:szCs w:val="24"/>
        </w:rPr>
        <w:t>s</w:t>
      </w:r>
      <w:proofErr w:type="spellEnd"/>
      <w:r w:rsidR="00907A50">
        <w:rPr>
          <w:rFonts w:cs="Arial"/>
          <w:szCs w:val="24"/>
        </w:rPr>
        <w:t>.</w:t>
      </w:r>
      <w:r w:rsidR="00907A50" w:rsidRPr="00907A50">
        <w:rPr>
          <w:rFonts w:cs="Arial"/>
          <w:szCs w:val="24"/>
        </w:rPr>
        <w:t xml:space="preserve"> (GASB Cod. §2200, ¶.178 and GASB 62, ¶33)</w:t>
      </w:r>
    </w:p>
    <w:tbl>
      <w:tblPr>
        <w:tblpPr w:leftFromText="180" w:rightFromText="180" w:vertAnchor="page" w:horzAnchor="page" w:tblpX="3141" w:tblpY="2251"/>
        <w:tblW w:w="8200" w:type="dxa"/>
        <w:tblLook w:val="04A0" w:firstRow="1" w:lastRow="0" w:firstColumn="1" w:lastColumn="0" w:noHBand="0" w:noVBand="1"/>
      </w:tblPr>
      <w:tblGrid>
        <w:gridCol w:w="416"/>
        <w:gridCol w:w="7784"/>
      </w:tblGrid>
      <w:tr w:rsidR="00E95C73" w:rsidRPr="00AF1B69" w14:paraId="16D49C6D" w14:textId="77777777" w:rsidTr="00AF1B69">
        <w:trPr>
          <w:trHeight w:val="920"/>
        </w:trPr>
        <w:tc>
          <w:tcPr>
            <w:tcW w:w="416" w:type="dxa"/>
            <w:tcBorders>
              <w:top w:val="nil"/>
              <w:left w:val="nil"/>
              <w:bottom w:val="nil"/>
              <w:right w:val="nil"/>
            </w:tcBorders>
            <w:shd w:val="clear" w:color="auto" w:fill="auto"/>
            <w:noWrap/>
            <w:hideMark/>
          </w:tcPr>
          <w:p w14:paraId="14217F9B"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lastRenderedPageBreak/>
              <w:t>•</w:t>
            </w:r>
          </w:p>
        </w:tc>
        <w:tc>
          <w:tcPr>
            <w:tcW w:w="7784" w:type="dxa"/>
            <w:tcBorders>
              <w:top w:val="nil"/>
              <w:left w:val="nil"/>
              <w:bottom w:val="nil"/>
              <w:right w:val="nil"/>
            </w:tcBorders>
            <w:shd w:val="clear" w:color="auto" w:fill="auto"/>
            <w:hideMark/>
          </w:tcPr>
          <w:p w14:paraId="6429134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A general description of its leasing arrangements, including the basis, terms, and conditions on which any variable payments not included in the measurement of the lease receivable are determined.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57[a]) </w:t>
            </w:r>
          </w:p>
        </w:tc>
      </w:tr>
      <w:tr w:rsidR="00E95C73" w:rsidRPr="00AF1B69" w14:paraId="1BF7A50D" w14:textId="77777777" w:rsidTr="00AF1B69">
        <w:trPr>
          <w:trHeight w:val="1200"/>
        </w:trPr>
        <w:tc>
          <w:tcPr>
            <w:tcW w:w="416" w:type="dxa"/>
            <w:tcBorders>
              <w:top w:val="nil"/>
              <w:left w:val="nil"/>
              <w:bottom w:val="nil"/>
              <w:right w:val="nil"/>
            </w:tcBorders>
            <w:shd w:val="clear" w:color="auto" w:fill="auto"/>
            <w:noWrap/>
            <w:hideMark/>
          </w:tcPr>
          <w:p w14:paraId="7581C614"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E98EE3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total amount of inflows of resources (for example, lease revenue, interest revenue, and any other lease-related inflows) recognized in the reporting period from leases, if that amount cannot be determined based on the amounts displayed on the face of the financial statements.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57[b]) </w:t>
            </w:r>
          </w:p>
        </w:tc>
      </w:tr>
      <w:tr w:rsidR="00E95C73" w:rsidRPr="00AF1B69" w14:paraId="034E2F90" w14:textId="77777777" w:rsidTr="00AF1B69">
        <w:trPr>
          <w:trHeight w:val="1260"/>
        </w:trPr>
        <w:tc>
          <w:tcPr>
            <w:tcW w:w="416" w:type="dxa"/>
            <w:tcBorders>
              <w:top w:val="nil"/>
              <w:left w:val="nil"/>
              <w:bottom w:val="nil"/>
              <w:right w:val="nil"/>
            </w:tcBorders>
            <w:shd w:val="clear" w:color="auto" w:fill="auto"/>
            <w:noWrap/>
            <w:hideMark/>
          </w:tcPr>
          <w:p w14:paraId="06839AE0"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01D92AD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The </w:t>
            </w:r>
            <w:proofErr w:type="gramStart"/>
            <w:r w:rsidRPr="00AF1B69">
              <w:rPr>
                <w:rFonts w:ascii="Arial" w:hAnsi="Arial" w:cs="Arial"/>
                <w:color w:val="000000"/>
                <w:sz w:val="24"/>
                <w:szCs w:val="24"/>
              </w:rPr>
              <w:t>amount</w:t>
            </w:r>
            <w:proofErr w:type="gramEnd"/>
            <w:r w:rsidRPr="00AF1B69">
              <w:rPr>
                <w:rFonts w:ascii="Arial" w:hAnsi="Arial" w:cs="Arial"/>
                <w:color w:val="000000"/>
                <w:sz w:val="24"/>
                <w:szCs w:val="24"/>
              </w:rPr>
              <w:t xml:space="preserve"> of inflows of resources recognized in the reporting period for variable and other payments not previously included in the measurement of the lease receivable, including inflows of resources related to residual value guarantees and termination penalties.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57[c]) </w:t>
            </w:r>
          </w:p>
        </w:tc>
      </w:tr>
      <w:tr w:rsidR="00E95C73" w:rsidRPr="00AF1B69" w14:paraId="1EE77BEE" w14:textId="77777777" w:rsidTr="00AF1B69">
        <w:trPr>
          <w:trHeight w:val="390"/>
        </w:trPr>
        <w:tc>
          <w:tcPr>
            <w:tcW w:w="416" w:type="dxa"/>
            <w:tcBorders>
              <w:top w:val="nil"/>
              <w:left w:val="nil"/>
              <w:bottom w:val="nil"/>
              <w:right w:val="nil"/>
            </w:tcBorders>
            <w:shd w:val="clear" w:color="auto" w:fill="auto"/>
            <w:noWrap/>
            <w:hideMark/>
          </w:tcPr>
          <w:p w14:paraId="69836188"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041946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Leases of assets that are investments.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58[a]) </w:t>
            </w:r>
          </w:p>
        </w:tc>
      </w:tr>
      <w:tr w:rsidR="00E95C73" w:rsidRPr="00AF1B69" w14:paraId="7FBCC95F" w14:textId="77777777" w:rsidTr="00AF1B69">
        <w:trPr>
          <w:trHeight w:val="390"/>
        </w:trPr>
        <w:tc>
          <w:tcPr>
            <w:tcW w:w="416" w:type="dxa"/>
            <w:tcBorders>
              <w:top w:val="nil"/>
              <w:left w:val="nil"/>
              <w:bottom w:val="nil"/>
              <w:right w:val="nil"/>
            </w:tcBorders>
            <w:shd w:val="clear" w:color="auto" w:fill="auto"/>
            <w:noWrap/>
            <w:hideMark/>
          </w:tcPr>
          <w:p w14:paraId="318A0FA3"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1886A035"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Certain regulated leases.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58[b])</w:t>
            </w:r>
          </w:p>
        </w:tc>
      </w:tr>
      <w:tr w:rsidR="00E95C73" w:rsidRPr="00AF1B69" w14:paraId="052B97D4" w14:textId="77777777" w:rsidTr="00AF1B69">
        <w:trPr>
          <w:trHeight w:val="390"/>
        </w:trPr>
        <w:tc>
          <w:tcPr>
            <w:tcW w:w="416" w:type="dxa"/>
            <w:tcBorders>
              <w:top w:val="nil"/>
              <w:left w:val="nil"/>
              <w:bottom w:val="nil"/>
              <w:right w:val="nil"/>
            </w:tcBorders>
            <w:shd w:val="clear" w:color="auto" w:fill="auto"/>
            <w:noWrap/>
            <w:hideMark/>
          </w:tcPr>
          <w:p w14:paraId="08864397"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21DBB7EC"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Sublease transactions.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58[c])</w:t>
            </w:r>
          </w:p>
        </w:tc>
      </w:tr>
      <w:tr w:rsidR="00E95C73" w:rsidRPr="00AF1B69" w14:paraId="0D47B816" w14:textId="77777777" w:rsidTr="00AF1B69">
        <w:trPr>
          <w:trHeight w:val="390"/>
        </w:trPr>
        <w:tc>
          <w:tcPr>
            <w:tcW w:w="416" w:type="dxa"/>
            <w:tcBorders>
              <w:top w:val="nil"/>
              <w:left w:val="nil"/>
              <w:bottom w:val="nil"/>
              <w:right w:val="nil"/>
            </w:tcBorders>
            <w:shd w:val="clear" w:color="auto" w:fill="auto"/>
            <w:noWrap/>
            <w:hideMark/>
          </w:tcPr>
          <w:p w14:paraId="746C513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759E52"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Sale-leaseback transactions.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58[d])</w:t>
            </w:r>
          </w:p>
        </w:tc>
      </w:tr>
      <w:tr w:rsidR="00E95C73" w:rsidRPr="00AF1B69" w14:paraId="62E45B59" w14:textId="77777777" w:rsidTr="00AF1B69">
        <w:trPr>
          <w:trHeight w:val="390"/>
        </w:trPr>
        <w:tc>
          <w:tcPr>
            <w:tcW w:w="416" w:type="dxa"/>
            <w:tcBorders>
              <w:top w:val="nil"/>
              <w:left w:val="nil"/>
              <w:bottom w:val="nil"/>
              <w:right w:val="nil"/>
            </w:tcBorders>
            <w:shd w:val="clear" w:color="auto" w:fill="auto"/>
            <w:noWrap/>
            <w:hideMark/>
          </w:tcPr>
          <w:p w14:paraId="136DE70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A45CD5D"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 xml:space="preserve">Lease-leaseback transactions. (GASB </w:t>
            </w:r>
            <w:proofErr w:type="gramStart"/>
            <w:r w:rsidRPr="00AF1B69">
              <w:rPr>
                <w:rFonts w:ascii="Arial" w:hAnsi="Arial" w:cs="Arial"/>
                <w:color w:val="000000"/>
                <w:sz w:val="24"/>
                <w:szCs w:val="24"/>
              </w:rPr>
              <w:t>87,¶</w:t>
            </w:r>
            <w:proofErr w:type="gramEnd"/>
            <w:r w:rsidRPr="00AF1B69">
              <w:rPr>
                <w:rFonts w:ascii="Arial" w:hAnsi="Arial" w:cs="Arial"/>
                <w:color w:val="000000"/>
                <w:sz w:val="24"/>
                <w:szCs w:val="24"/>
              </w:rPr>
              <w:t xml:space="preserve"> 58[e]) </w:t>
            </w:r>
          </w:p>
        </w:tc>
      </w:tr>
      <w:tr w:rsidR="00E95C73" w:rsidRPr="00AF1B69" w14:paraId="31355588" w14:textId="77777777" w:rsidTr="00AF1B69">
        <w:trPr>
          <w:trHeight w:val="1480"/>
        </w:trPr>
        <w:tc>
          <w:tcPr>
            <w:tcW w:w="416" w:type="dxa"/>
            <w:tcBorders>
              <w:top w:val="nil"/>
              <w:left w:val="nil"/>
              <w:bottom w:val="nil"/>
              <w:right w:val="nil"/>
            </w:tcBorders>
            <w:shd w:val="clear" w:color="auto" w:fill="auto"/>
            <w:noWrap/>
            <w:hideMark/>
          </w:tcPr>
          <w:p w14:paraId="6D915B31"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7C645C49"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If a lessor’s principal ongoing operations consist of leasing assets to other entities, the government should disclose a schedule of future payments that are included in the measurement of the lease receivable, showing principal and interest separately, for each of the five subsequent fiscal years and in five-year increments thereafter. (GASBS 87, ¶59)</w:t>
            </w:r>
          </w:p>
        </w:tc>
      </w:tr>
      <w:tr w:rsidR="00E95C73" w:rsidRPr="00AF1B69" w14:paraId="46CBE9A3" w14:textId="77777777" w:rsidTr="00AF1B69">
        <w:trPr>
          <w:trHeight w:val="4860"/>
        </w:trPr>
        <w:tc>
          <w:tcPr>
            <w:tcW w:w="416" w:type="dxa"/>
            <w:tcBorders>
              <w:top w:val="nil"/>
              <w:left w:val="nil"/>
              <w:bottom w:val="nil"/>
              <w:right w:val="nil"/>
            </w:tcBorders>
            <w:shd w:val="clear" w:color="auto" w:fill="auto"/>
            <w:noWrap/>
            <w:hideMark/>
          </w:tcPr>
          <w:p w14:paraId="661F035E"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w:t>
            </w:r>
          </w:p>
        </w:tc>
        <w:tc>
          <w:tcPr>
            <w:tcW w:w="7784" w:type="dxa"/>
            <w:tcBorders>
              <w:top w:val="nil"/>
              <w:left w:val="nil"/>
              <w:bottom w:val="nil"/>
              <w:right w:val="nil"/>
            </w:tcBorders>
            <w:shd w:val="clear" w:color="auto" w:fill="auto"/>
            <w:hideMark/>
          </w:tcPr>
          <w:p w14:paraId="4ED1197F" w14:textId="77777777" w:rsidR="00E95C73" w:rsidRPr="00AF1B69" w:rsidRDefault="00E95C73" w:rsidP="00917882">
            <w:pPr>
              <w:rPr>
                <w:rFonts w:ascii="Arial" w:hAnsi="Arial" w:cs="Arial"/>
                <w:color w:val="000000"/>
                <w:sz w:val="24"/>
                <w:szCs w:val="24"/>
              </w:rPr>
            </w:pPr>
            <w:r w:rsidRPr="00AF1B69">
              <w:rPr>
                <w:rFonts w:ascii="Arial" w:hAnsi="Arial" w:cs="Arial"/>
                <w:color w:val="000000"/>
                <w:sz w:val="24"/>
                <w:szCs w:val="24"/>
              </w:rPr>
              <w:t>A lessor with one or more regulated leases, as described in §L20.139 and .140, should disclose the following about those lease activities (which may be grouped for purposes of disclosure), other than short-term leases: (1) A general description of its agreements; (2) The extent to which capital assets are subject to preferential or exclusive use by counterparties under agreements, by major class of assets and by major counterparty; (3) The total amount of inflows of resources (for example, lease revenue, interest revenue, and any other lease-related inflows) recognized in the reporting period from these agreements, if that amount cannot be determined based on the amounts displayed on the face of the financial statements; (4) A schedule of expected future minimum payments under these agreements for each of the subsequent five years and in five-year increments thereafter; (5) The amount of inflows of resources recognized in the reporting period for variable payments not included in expected future minimum payments; and (6) The existence, terms, and conditions of options by the lessee to terminate the lease or abate lease payments if the lessor government has issued debt for which the principal and interest payments are secured by the lease payments. (GASBS 87, ¶60)</w:t>
            </w:r>
          </w:p>
        </w:tc>
      </w:tr>
    </w:tbl>
    <w:p w14:paraId="31A9B010" w14:textId="24508BF9" w:rsidR="00660CBC" w:rsidRPr="00AF1B69" w:rsidRDefault="00242111" w:rsidP="007E6A60">
      <w:pPr>
        <w:pStyle w:val="BodyTextIndent2"/>
        <w:numPr>
          <w:ilvl w:val="2"/>
          <w:numId w:val="20"/>
        </w:numPr>
        <w:tabs>
          <w:tab w:val="left" w:pos="-6390"/>
          <w:tab w:val="left" w:pos="-6300"/>
        </w:tabs>
        <w:spacing w:after="120"/>
        <w:jc w:val="left"/>
        <w:outlineLvl w:val="2"/>
        <w:rPr>
          <w:rFonts w:cs="Arial"/>
          <w:szCs w:val="24"/>
        </w:rPr>
      </w:pPr>
      <w:r w:rsidRPr="00AF1B69">
        <w:rPr>
          <w:rFonts w:cs="Arial"/>
          <w:szCs w:val="24"/>
        </w:rPr>
        <w:t xml:space="preserve">Leases </w:t>
      </w:r>
      <w:r w:rsidR="00F25570" w:rsidRPr="00AF1B69">
        <w:rPr>
          <w:rFonts w:cs="Arial"/>
          <w:szCs w:val="24"/>
        </w:rPr>
        <w:t xml:space="preserve">(generally addresses disclosure requirements for the </w:t>
      </w:r>
      <w:proofErr w:type="gramStart"/>
      <w:r w:rsidR="00DC64FB" w:rsidRPr="00AF1B69">
        <w:rPr>
          <w:rFonts w:cs="Arial"/>
          <w:szCs w:val="24"/>
        </w:rPr>
        <w:t>District</w:t>
      </w:r>
      <w:proofErr w:type="gramEnd"/>
      <w:r w:rsidR="00F25570" w:rsidRPr="00AF1B69">
        <w:rPr>
          <w:rFonts w:cs="Arial"/>
          <w:szCs w:val="24"/>
        </w:rPr>
        <w:t xml:space="preserve"> as </w:t>
      </w:r>
      <w:r w:rsidR="00F25570" w:rsidRPr="00AF1B69">
        <w:rPr>
          <w:rFonts w:cs="Arial"/>
          <w:b/>
          <w:bCs/>
          <w:szCs w:val="24"/>
        </w:rPr>
        <w:t>lessor</w:t>
      </w:r>
      <w:r w:rsidR="00F25570" w:rsidRPr="00AF1B69">
        <w:rPr>
          <w:rFonts w:cs="Arial"/>
          <w:szCs w:val="24"/>
        </w:rPr>
        <w:t>, see also GASB Cod. §L20)</w:t>
      </w:r>
    </w:p>
    <w:p w14:paraId="0C78F432" w14:textId="77777777" w:rsidR="00222766" w:rsidRPr="00893867" w:rsidRDefault="00222766" w:rsidP="00222766">
      <w:pPr>
        <w:pStyle w:val="BodyTextIndent2"/>
        <w:tabs>
          <w:tab w:val="left" w:pos="-6390"/>
          <w:tab w:val="left" w:pos="-6300"/>
        </w:tabs>
        <w:spacing w:after="120"/>
        <w:ind w:left="432" w:firstLine="0"/>
        <w:outlineLvl w:val="2"/>
        <w:rPr>
          <w:rFonts w:cs="Arial"/>
          <w:szCs w:val="24"/>
        </w:rPr>
      </w:pPr>
    </w:p>
    <w:p w14:paraId="7F455F8E" w14:textId="77777777" w:rsidR="00F25570" w:rsidRPr="00D2583B" w:rsidRDefault="00F25570" w:rsidP="00F25570">
      <w:pPr>
        <w:pStyle w:val="BodyTextIndent2"/>
        <w:tabs>
          <w:tab w:val="left" w:pos="-6390"/>
          <w:tab w:val="left" w:pos="-6300"/>
        </w:tabs>
        <w:spacing w:after="120"/>
        <w:ind w:left="432" w:firstLine="0"/>
        <w:outlineLvl w:val="2"/>
        <w:rPr>
          <w:rFonts w:cs="Arial"/>
          <w:szCs w:val="24"/>
        </w:rPr>
      </w:pPr>
    </w:p>
    <w:p w14:paraId="41AEC9E9" w14:textId="77777777" w:rsidR="0048109F" w:rsidRDefault="0048109F">
      <w:pPr>
        <w:rPr>
          <w:rFonts w:ascii="Arial" w:hAnsi="Arial" w:cs="Arial"/>
          <w:sz w:val="24"/>
          <w:szCs w:val="24"/>
        </w:rPr>
      </w:pPr>
      <w:r>
        <w:rPr>
          <w:rFonts w:cs="Arial"/>
          <w:szCs w:val="24"/>
        </w:rPr>
        <w:br w:type="page"/>
      </w:r>
    </w:p>
    <w:p w14:paraId="700D631E" w14:textId="210F7F47"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 xml:space="preserve">Capital assets disclosures </w:t>
      </w:r>
      <w:proofErr w:type="gramStart"/>
      <w:r w:rsidRPr="00D2583B">
        <w:rPr>
          <w:rFonts w:cs="Arial"/>
          <w:szCs w:val="24"/>
        </w:rPr>
        <w:t>divided</w:t>
      </w:r>
      <w:proofErr w:type="gramEnd"/>
      <w:r w:rsidRPr="00D2583B">
        <w:rPr>
          <w:rFonts w:cs="Arial"/>
          <w:szCs w:val="24"/>
        </w:rPr>
        <w:t xml:space="preserve"> into major classes of capital assets</w:t>
      </w:r>
      <w:r w:rsidR="00B1533C" w:rsidRPr="00D2583B">
        <w:rPr>
          <w:rFonts w:cs="Arial"/>
          <w:szCs w:val="24"/>
        </w:rPr>
        <w:t>,</w:t>
      </w:r>
      <w:r w:rsidR="000B7EAE" w:rsidRPr="000B7EAE">
        <w:rPr>
          <w:rFonts w:cs="Arial"/>
          <w:szCs w:val="24"/>
        </w:rPr>
        <w:t xml:space="preserve"> </w:t>
      </w:r>
      <w:r w:rsidR="000B7EAE" w:rsidRPr="00D2583B">
        <w:rPr>
          <w:rFonts w:cs="Arial"/>
          <w:szCs w:val="24"/>
        </w:rPr>
        <w:t xml:space="preserve">as well as between those associated with </w:t>
      </w:r>
      <w:r w:rsidR="000B7EAE" w:rsidRPr="00324120">
        <w:rPr>
          <w:rFonts w:cs="Arial"/>
          <w:szCs w:val="24"/>
        </w:rPr>
        <w:t xml:space="preserve">governmental activities and those associated with business-type activities. </w:t>
      </w:r>
      <w:r w:rsidR="00816EE6" w:rsidRPr="00324120">
        <w:rPr>
          <w:rFonts w:cs="Arial"/>
          <w:szCs w:val="24"/>
        </w:rPr>
        <w:t>Th</w:t>
      </w:r>
      <w:r w:rsidR="00387F72" w:rsidRPr="00324120">
        <w:rPr>
          <w:rFonts w:cs="Arial"/>
          <w:szCs w:val="24"/>
        </w:rPr>
        <w:t>e</w:t>
      </w:r>
      <w:r w:rsidR="00816EE6" w:rsidRPr="00324120">
        <w:rPr>
          <w:rFonts w:cs="Arial"/>
          <w:szCs w:val="24"/>
        </w:rPr>
        <w:t>s</w:t>
      </w:r>
      <w:r w:rsidR="00387F72" w:rsidRPr="00324120">
        <w:rPr>
          <w:rFonts w:cs="Arial"/>
          <w:szCs w:val="24"/>
        </w:rPr>
        <w:t>e</w:t>
      </w:r>
      <w:r w:rsidR="00816EE6" w:rsidRPr="00324120">
        <w:rPr>
          <w:rFonts w:cs="Arial"/>
          <w:szCs w:val="24"/>
        </w:rPr>
        <w:t xml:space="preserve"> disclosure</w:t>
      </w:r>
      <w:r w:rsidR="00387F72" w:rsidRPr="00324120">
        <w:rPr>
          <w:rFonts w:cs="Arial"/>
          <w:szCs w:val="24"/>
        </w:rPr>
        <w:t>s</w:t>
      </w:r>
      <w:r w:rsidR="00816EE6" w:rsidRPr="00324120">
        <w:rPr>
          <w:rFonts w:cs="Arial"/>
          <w:szCs w:val="24"/>
        </w:rPr>
        <w:t xml:space="preserve"> should</w:t>
      </w:r>
      <w:r w:rsidR="007E5EE7" w:rsidRPr="00324120">
        <w:rPr>
          <w:rFonts w:cs="Arial"/>
          <w:szCs w:val="24"/>
        </w:rPr>
        <w:t xml:space="preserve"> includ</w:t>
      </w:r>
      <w:r w:rsidR="00816EE6" w:rsidRPr="00324120">
        <w:rPr>
          <w:rFonts w:cs="Arial"/>
          <w:szCs w:val="24"/>
        </w:rPr>
        <w:t>e</w:t>
      </w:r>
      <w:r w:rsidR="007E5EE7" w:rsidRPr="00324120">
        <w:rPr>
          <w:rFonts w:cs="Arial"/>
          <w:szCs w:val="24"/>
        </w:rPr>
        <w:t xml:space="preserve"> intangible assets</w:t>
      </w:r>
      <w:r w:rsidR="00B1533C" w:rsidRPr="00324120">
        <w:rPr>
          <w:rFonts w:cs="Arial"/>
          <w:szCs w:val="24"/>
        </w:rPr>
        <w:t>,</w:t>
      </w:r>
      <w:r w:rsidRPr="00324120">
        <w:rPr>
          <w:rFonts w:cs="Arial"/>
          <w:szCs w:val="24"/>
        </w:rPr>
        <w:t xml:space="preserve"> </w:t>
      </w:r>
      <w:r w:rsidR="00D5245D" w:rsidRPr="00324120">
        <w:rPr>
          <w:rFonts w:cs="Arial"/>
          <w:szCs w:val="24"/>
        </w:rPr>
        <w:t>with intangible</w:t>
      </w:r>
      <w:r w:rsidR="00591263" w:rsidRPr="00324120">
        <w:rPr>
          <w:rFonts w:cs="Arial"/>
          <w:szCs w:val="24"/>
        </w:rPr>
        <w:t xml:space="preserve"> right-to-use lease assets </w:t>
      </w:r>
      <w:r w:rsidR="00551208" w:rsidRPr="00324120">
        <w:rPr>
          <w:rFonts w:cs="Arial"/>
          <w:szCs w:val="24"/>
        </w:rPr>
        <w:t xml:space="preserve">and </w:t>
      </w:r>
      <w:r w:rsidR="00551208">
        <w:rPr>
          <w:rFonts w:cs="Arial"/>
          <w:szCs w:val="24"/>
          <w:highlight w:val="yellow"/>
        </w:rPr>
        <w:t xml:space="preserve">subscription assets </w:t>
      </w:r>
      <w:r w:rsidR="00917D06">
        <w:rPr>
          <w:rFonts w:cs="Arial"/>
          <w:szCs w:val="24"/>
          <w:highlight w:val="yellow"/>
        </w:rPr>
        <w:t xml:space="preserve">arising from SIBTAs </w:t>
      </w:r>
      <w:r w:rsidR="00591263" w:rsidRPr="006A7CCA">
        <w:rPr>
          <w:rFonts w:cs="Arial"/>
          <w:szCs w:val="24"/>
          <w:highlight w:val="yellow"/>
        </w:rPr>
        <w:t>identified separately</w:t>
      </w:r>
      <w:r w:rsidR="00551208">
        <w:rPr>
          <w:rFonts w:cs="Arial"/>
          <w:szCs w:val="24"/>
          <w:highlight w:val="yellow"/>
        </w:rPr>
        <w:t xml:space="preserve"> (lease assets should be further identified</w:t>
      </w:r>
      <w:r w:rsidR="00591263" w:rsidRPr="006A7CCA">
        <w:rPr>
          <w:rFonts w:cs="Arial"/>
          <w:szCs w:val="24"/>
          <w:highlight w:val="yellow"/>
        </w:rPr>
        <w:t xml:space="preserve"> by underlying class of asset</w:t>
      </w:r>
      <w:r w:rsidR="006A7CCA" w:rsidRPr="006A7CCA">
        <w:rPr>
          <w:rFonts w:cs="Arial"/>
          <w:szCs w:val="24"/>
          <w:highlight w:val="yellow"/>
        </w:rPr>
        <w:t>s</w:t>
      </w:r>
      <w:r w:rsidR="00324120">
        <w:rPr>
          <w:rFonts w:cs="Arial"/>
          <w:szCs w:val="24"/>
        </w:rPr>
        <w:t>)</w:t>
      </w:r>
      <w:r w:rsidR="00E13D83">
        <w:rPr>
          <w:rFonts w:cs="Arial"/>
          <w:szCs w:val="24"/>
        </w:rPr>
        <w:t>.</w:t>
      </w:r>
      <w:r w:rsidR="00591263">
        <w:rPr>
          <w:rFonts w:cs="Arial"/>
          <w:szCs w:val="24"/>
        </w:rPr>
        <w:t xml:space="preserve"> </w:t>
      </w:r>
      <w:r w:rsidRPr="00D2583B">
        <w:rPr>
          <w:rFonts w:cs="Arial"/>
          <w:szCs w:val="24"/>
        </w:rPr>
        <w:t>Capital assets that are not being depreciated</w:t>
      </w:r>
      <w:r w:rsidR="00E13D83" w:rsidRPr="00917D06">
        <w:rPr>
          <w:rFonts w:cs="Arial"/>
          <w:szCs w:val="24"/>
        </w:rPr>
        <w:t>/amortized</w:t>
      </w:r>
      <w:r w:rsidRPr="00917D06">
        <w:rPr>
          <w:rFonts w:cs="Arial"/>
          <w:szCs w:val="24"/>
        </w:rPr>
        <w:t xml:space="preserve"> should be disclosed separately from those that are being depreciated</w:t>
      </w:r>
      <w:r w:rsidR="00E13D83" w:rsidRPr="00917D06">
        <w:rPr>
          <w:rFonts w:cs="Arial"/>
          <w:szCs w:val="24"/>
        </w:rPr>
        <w:t>/amortized</w:t>
      </w:r>
      <w:r w:rsidR="009C5418" w:rsidRPr="00917D06">
        <w:rPr>
          <w:rFonts w:cs="Arial"/>
          <w:szCs w:val="24"/>
        </w:rPr>
        <w:t xml:space="preserve"> </w:t>
      </w:r>
      <w:r w:rsidR="00C550F2" w:rsidRPr="00917D06">
        <w:rPr>
          <w:rFonts w:cs="Arial"/>
          <w:szCs w:val="24"/>
        </w:rPr>
        <w:t>(GASB Cod. §2300, ¶.117 through .119</w:t>
      </w:r>
      <w:r w:rsidR="00C0040F" w:rsidRPr="00917D06">
        <w:rPr>
          <w:rFonts w:cs="Arial"/>
          <w:szCs w:val="24"/>
        </w:rPr>
        <w:t xml:space="preserve">; </w:t>
      </w:r>
      <w:r w:rsidR="00C550F2" w:rsidRPr="00917D06">
        <w:rPr>
          <w:rFonts w:cs="Arial"/>
          <w:szCs w:val="24"/>
        </w:rPr>
        <w:t>GASB 51</w:t>
      </w:r>
      <w:r w:rsidR="00C0040F" w:rsidRPr="00917D06">
        <w:rPr>
          <w:rFonts w:cs="Arial"/>
          <w:szCs w:val="24"/>
        </w:rPr>
        <w:t>;</w:t>
      </w:r>
      <w:r w:rsidR="00C0040F" w:rsidRPr="00917D06">
        <w:t xml:space="preserve"> </w:t>
      </w:r>
      <w:r w:rsidR="00C0040F" w:rsidRPr="00917D06">
        <w:rPr>
          <w:rFonts w:cs="Arial"/>
          <w:szCs w:val="24"/>
        </w:rPr>
        <w:t>GASB 87, ¶ 37[c]</w:t>
      </w:r>
      <w:r w:rsidR="000A1886">
        <w:rPr>
          <w:rFonts w:cs="Arial"/>
          <w:szCs w:val="24"/>
        </w:rPr>
        <w:t xml:space="preserve">; </w:t>
      </w:r>
      <w:r w:rsidR="000A1886" w:rsidRPr="00EA267F">
        <w:rPr>
          <w:rFonts w:cs="Arial"/>
          <w:szCs w:val="24"/>
          <w:highlight w:val="yellow"/>
        </w:rPr>
        <w:t>GASB 96</w:t>
      </w:r>
      <w:r w:rsidR="00EA267F" w:rsidRPr="00EA267F">
        <w:rPr>
          <w:rFonts w:cs="Arial"/>
          <w:szCs w:val="24"/>
          <w:highlight w:val="yellow"/>
        </w:rPr>
        <w:t xml:space="preserve">, </w:t>
      </w:r>
      <w:r w:rsidR="00EA267F" w:rsidRPr="00EA267F">
        <w:rPr>
          <w:rFonts w:cs="Arial"/>
          <w:szCs w:val="24"/>
          <w:highlight w:val="yellow"/>
        </w:rPr>
        <w:t xml:space="preserve">¶ </w:t>
      </w:r>
      <w:r w:rsidR="00EA267F" w:rsidRPr="00EA267F">
        <w:rPr>
          <w:rFonts w:cs="Arial"/>
          <w:szCs w:val="24"/>
          <w:highlight w:val="yellow"/>
        </w:rPr>
        <w:t>60</w:t>
      </w:r>
      <w:r w:rsidR="00EA267F" w:rsidRPr="00EA267F">
        <w:rPr>
          <w:rFonts w:cs="Arial"/>
          <w:szCs w:val="24"/>
          <w:highlight w:val="yellow"/>
        </w:rPr>
        <w:t>[</w:t>
      </w:r>
      <w:r w:rsidR="00EA267F" w:rsidRPr="00EA267F">
        <w:rPr>
          <w:rFonts w:cs="Arial"/>
          <w:szCs w:val="24"/>
          <w:highlight w:val="yellow"/>
        </w:rPr>
        <w:t>b</w:t>
      </w:r>
      <w:r w:rsidR="00EA267F" w:rsidRPr="00EA267F">
        <w:rPr>
          <w:rFonts w:cs="Arial"/>
          <w:szCs w:val="24"/>
          <w:highlight w:val="yellow"/>
        </w:rPr>
        <w:t>]</w:t>
      </w:r>
      <w:r w:rsidR="00C550F2" w:rsidRPr="00917D06">
        <w:rPr>
          <w:rFonts w:cs="Arial"/>
          <w:szCs w:val="24"/>
        </w:rPr>
        <w:t>)</w:t>
      </w:r>
      <w:r w:rsidR="00E66CE4" w:rsidRPr="00917D06">
        <w:rPr>
          <w:rFonts w:cs="Arial"/>
          <w:szCs w:val="24"/>
        </w:rPr>
        <w:t>:</w:t>
      </w:r>
      <w:r w:rsidR="00C550F2" w:rsidRPr="00C550F2">
        <w:rPr>
          <w:rFonts w:cs="Arial"/>
          <w:szCs w:val="24"/>
        </w:rPr>
        <w:t xml:space="preserve"> </w:t>
      </w:r>
    </w:p>
    <w:p w14:paraId="700D631F" w14:textId="425FC9CC"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 with accumulated depreciation</w:t>
      </w:r>
      <w:r w:rsidR="00334B9B" w:rsidRPr="00C4477D">
        <w:rPr>
          <w:rFonts w:cs="Arial"/>
          <w:szCs w:val="24"/>
        </w:rPr>
        <w:t>/amortization</w:t>
      </w:r>
      <w:r w:rsidRPr="00D2583B">
        <w:rPr>
          <w:rFonts w:cs="Arial"/>
          <w:szCs w:val="24"/>
        </w:rPr>
        <w:t xml:space="preserve"> presented separately from historical cost</w:t>
      </w:r>
      <w:r w:rsidR="00D42CA7">
        <w:rPr>
          <w:rFonts w:cs="Arial"/>
          <w:szCs w:val="24"/>
        </w:rPr>
        <w:t>.</w:t>
      </w:r>
    </w:p>
    <w:p w14:paraId="700D6320" w14:textId="2526AA6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Capital acquisitions</w:t>
      </w:r>
      <w:r w:rsidR="00C550F2">
        <w:rPr>
          <w:rFonts w:cs="Arial"/>
          <w:szCs w:val="24"/>
        </w:rPr>
        <w:t xml:space="preserve"> during the year</w:t>
      </w:r>
      <w:r w:rsidR="00D42CA7">
        <w:rPr>
          <w:rFonts w:cs="Arial"/>
          <w:szCs w:val="24"/>
        </w:rPr>
        <w:t>.</w:t>
      </w:r>
    </w:p>
    <w:p w14:paraId="700D6321" w14:textId="4DEFF3F3"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Sales or other dispositions</w:t>
      </w:r>
      <w:r w:rsidR="00C550F2">
        <w:rPr>
          <w:rFonts w:cs="Arial"/>
          <w:szCs w:val="24"/>
        </w:rPr>
        <w:t xml:space="preserve"> during the year</w:t>
      </w:r>
      <w:r w:rsidR="00D42CA7">
        <w:rPr>
          <w:rFonts w:cs="Arial"/>
          <w:szCs w:val="24"/>
        </w:rPr>
        <w:t>.</w:t>
      </w:r>
    </w:p>
    <w:p w14:paraId="700D6322" w14:textId="3BDBD754"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Current-period depreciation</w:t>
      </w:r>
      <w:r w:rsidR="00B96A7B">
        <w:rPr>
          <w:rFonts w:cs="Arial"/>
          <w:szCs w:val="24"/>
        </w:rPr>
        <w:t>/</w:t>
      </w:r>
      <w:r w:rsidR="00B96A7B" w:rsidRPr="002362B7">
        <w:rPr>
          <w:rFonts w:cs="Arial"/>
          <w:szCs w:val="24"/>
        </w:rPr>
        <w:t>amortization</w:t>
      </w:r>
      <w:r w:rsidRPr="00D2583B">
        <w:rPr>
          <w:rFonts w:cs="Arial"/>
          <w:szCs w:val="24"/>
        </w:rPr>
        <w:t xml:space="preserve"> expense, with disclosure of the amounts charged to each of the functions in the statement of activities</w:t>
      </w:r>
      <w:r w:rsidR="00D42CA7">
        <w:rPr>
          <w:rFonts w:cs="Arial"/>
          <w:szCs w:val="24"/>
        </w:rPr>
        <w:t>.</w:t>
      </w:r>
    </w:p>
    <w:p w14:paraId="700D6323" w14:textId="1721C8A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For collections not capitalized, describe the collection and the reasons they are not capitalized</w:t>
      </w:r>
      <w:r w:rsidR="00D42CA7">
        <w:rPr>
          <w:rFonts w:cs="Arial"/>
          <w:szCs w:val="24"/>
        </w:rPr>
        <w:t>.</w:t>
      </w:r>
      <w:r w:rsidR="00A04725" w:rsidRPr="00D2583B">
        <w:rPr>
          <w:rFonts w:cs="Arial"/>
          <w:szCs w:val="24"/>
        </w:rPr>
        <w:t xml:space="preserve"> (GASB 34, ¶118)</w:t>
      </w:r>
    </w:p>
    <w:p w14:paraId="700D6324" w14:textId="1CF77284" w:rsidR="00A04725" w:rsidRDefault="00A04725"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carrying amount of impaired capital assets that are idle at year-end, regardless of whether the impairment is considered permanent or temporary</w:t>
      </w:r>
      <w:r w:rsidR="00D42CA7">
        <w:rPr>
          <w:rFonts w:cs="Arial"/>
          <w:szCs w:val="24"/>
        </w:rPr>
        <w:t>.</w:t>
      </w:r>
      <w:r w:rsidRPr="00D2583B">
        <w:rPr>
          <w:rFonts w:cs="Arial"/>
          <w:szCs w:val="24"/>
        </w:rPr>
        <w:t xml:space="preserve"> </w:t>
      </w:r>
      <w:r w:rsidR="00C550F2" w:rsidRPr="00C550F2">
        <w:rPr>
          <w:rFonts w:cs="Arial"/>
          <w:szCs w:val="24"/>
        </w:rPr>
        <w:t xml:space="preserve">(GASB Cod. §1400, ¶.196). </w:t>
      </w:r>
    </w:p>
    <w:p w14:paraId="379C447D" w14:textId="77777777" w:rsidR="00F33A35" w:rsidRDefault="00F33A35"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Derivative instruments (GASB Cod. §D40 and GASB 53). Place disclosure in the assets,</w:t>
      </w:r>
      <w:r w:rsidRPr="00D2583B">
        <w:t xml:space="preserve"> </w:t>
      </w:r>
      <w:r w:rsidRPr="00D2583B">
        <w:rPr>
          <w:rFonts w:cs="Arial"/>
          <w:szCs w:val="24"/>
        </w:rPr>
        <w:t>deferred outflows of resources, liabilities, and/or deferred inflows of resources sections, as appropriate.</w:t>
      </w:r>
    </w:p>
    <w:p w14:paraId="5C44A828" w14:textId="7DCCD764" w:rsidR="00CD2A9B" w:rsidRPr="00040CA3" w:rsidRDefault="00CD2A9B" w:rsidP="007E6A60">
      <w:pPr>
        <w:pStyle w:val="BodyTextIndent2"/>
        <w:numPr>
          <w:ilvl w:val="1"/>
          <w:numId w:val="20"/>
        </w:numPr>
        <w:tabs>
          <w:tab w:val="left" w:pos="-6390"/>
          <w:tab w:val="left" w:pos="-6300"/>
        </w:tabs>
        <w:spacing w:after="120"/>
        <w:jc w:val="left"/>
        <w:outlineLvl w:val="1"/>
        <w:rPr>
          <w:rFonts w:cs="Arial"/>
          <w:szCs w:val="24"/>
          <w:highlight w:val="yellow"/>
        </w:rPr>
      </w:pPr>
      <w:r w:rsidRPr="00040CA3">
        <w:rPr>
          <w:rFonts w:cs="Arial"/>
          <w:szCs w:val="24"/>
          <w:highlight w:val="yellow"/>
        </w:rPr>
        <w:t>Public-private or public-public partnerships that either (a) meet the definition of a service concession arrangement or (b) are not within the scope of GASB Codification Section L20. (See GASB Codification Section P90, “Public-Private and Public-Public Partnerships,” paragraphs .131, .132, and .153–.155.)</w:t>
      </w:r>
    </w:p>
    <w:p w14:paraId="700D6325" w14:textId="2781E907" w:rsidR="00851467" w:rsidRDefault="00851467"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Liabilities</w:t>
      </w:r>
      <w:r w:rsidR="00BC4787">
        <w:rPr>
          <w:rFonts w:cs="Arial"/>
          <w:szCs w:val="24"/>
        </w:rPr>
        <w:t xml:space="preserve"> and deferred inflows of resources</w:t>
      </w:r>
      <w:r w:rsidR="00472801">
        <w:rPr>
          <w:rFonts w:cs="Arial"/>
          <w:szCs w:val="24"/>
        </w:rPr>
        <w:t>:</w:t>
      </w:r>
    </w:p>
    <w:p w14:paraId="149FB01C" w14:textId="6411EACC" w:rsidR="00C550F2" w:rsidRDefault="00C550F2" w:rsidP="007E6A60">
      <w:pPr>
        <w:pStyle w:val="BodyTextIndent2"/>
        <w:numPr>
          <w:ilvl w:val="0"/>
          <w:numId w:val="23"/>
        </w:numPr>
        <w:tabs>
          <w:tab w:val="left" w:pos="-6390"/>
          <w:tab w:val="left" w:pos="-6300"/>
        </w:tabs>
        <w:spacing w:after="120"/>
        <w:ind w:left="720" w:hanging="180"/>
        <w:jc w:val="left"/>
        <w:outlineLvl w:val="0"/>
        <w:rPr>
          <w:rFonts w:cs="Arial"/>
          <w:szCs w:val="24"/>
        </w:rPr>
      </w:pPr>
      <w:r>
        <w:rPr>
          <w:rFonts w:cs="Arial"/>
          <w:szCs w:val="24"/>
        </w:rPr>
        <w:t>Payables</w:t>
      </w:r>
      <w:r w:rsidR="00DD25E7">
        <w:rPr>
          <w:rFonts w:cs="Arial"/>
          <w:szCs w:val="24"/>
        </w:rPr>
        <w:t>:</w:t>
      </w:r>
    </w:p>
    <w:p w14:paraId="7546804F" w14:textId="0EC203C4" w:rsidR="00C550F2" w:rsidRPr="00D2583B" w:rsidRDefault="00C550F2" w:rsidP="007E6A60">
      <w:pPr>
        <w:pStyle w:val="BodyTextIndent2"/>
        <w:numPr>
          <w:ilvl w:val="2"/>
          <w:numId w:val="14"/>
        </w:numPr>
        <w:tabs>
          <w:tab w:val="left" w:pos="-6390"/>
          <w:tab w:val="left" w:pos="-6300"/>
        </w:tabs>
        <w:spacing w:after="120"/>
        <w:jc w:val="left"/>
        <w:outlineLvl w:val="0"/>
        <w:rPr>
          <w:rFonts w:cs="Arial"/>
          <w:szCs w:val="24"/>
        </w:rPr>
      </w:pPr>
      <w:r w:rsidRPr="00C550F2">
        <w:rPr>
          <w:rFonts w:cs="Arial"/>
          <w:szCs w:val="24"/>
        </w:rPr>
        <w:t>Details about major components of payable balances when obscured by aggregation. (GASB Cod. §2300, ¶.125 and GASB 38, ¶13)</w:t>
      </w:r>
    </w:p>
    <w:p w14:paraId="700D6326" w14:textId="662D8C73" w:rsidR="00851467" w:rsidRPr="00D2583B" w:rsidRDefault="00F33A35" w:rsidP="007E6A60">
      <w:pPr>
        <w:pStyle w:val="BodyTextIndent2"/>
        <w:numPr>
          <w:ilvl w:val="1"/>
          <w:numId w:val="14"/>
        </w:numPr>
        <w:tabs>
          <w:tab w:val="left" w:pos="-6210"/>
        </w:tabs>
        <w:spacing w:after="120"/>
        <w:jc w:val="left"/>
        <w:outlineLvl w:val="1"/>
        <w:rPr>
          <w:rFonts w:cs="Arial"/>
          <w:szCs w:val="24"/>
        </w:rPr>
      </w:pPr>
      <w:r>
        <w:rPr>
          <w:rFonts w:cs="Arial"/>
          <w:szCs w:val="24"/>
        </w:rPr>
        <w:t>Short-term debt</w:t>
      </w:r>
      <w:r w:rsidR="00D42CA7">
        <w:rPr>
          <w:rFonts w:cs="Arial"/>
          <w:szCs w:val="24"/>
        </w:rPr>
        <w:t>—</w:t>
      </w:r>
      <w:r>
        <w:rPr>
          <w:rFonts w:cs="Arial"/>
          <w:szCs w:val="24"/>
        </w:rPr>
        <w:t>P</w:t>
      </w:r>
      <w:r w:rsidR="00851467" w:rsidRPr="00D2583B">
        <w:rPr>
          <w:rFonts w:cs="Arial"/>
          <w:szCs w:val="24"/>
        </w:rPr>
        <w:t>rovide details about short-term debt activity during the year, even if no short-term debt is outstanding at year-end</w:t>
      </w:r>
      <w:r w:rsidR="00FA4C2B" w:rsidRPr="00D2583B">
        <w:rPr>
          <w:rFonts w:cs="Arial"/>
          <w:szCs w:val="24"/>
        </w:rPr>
        <w:t xml:space="preserve"> </w:t>
      </w:r>
      <w:r w:rsidR="00C550F2" w:rsidRPr="00C550F2">
        <w:rPr>
          <w:rFonts w:cs="Arial"/>
          <w:szCs w:val="24"/>
        </w:rPr>
        <w:t>(GASB Cod. §2300, ¶.124)</w:t>
      </w:r>
      <w:r w:rsidR="00851467" w:rsidRPr="00D2583B">
        <w:rPr>
          <w:rFonts w:cs="Arial"/>
          <w:szCs w:val="24"/>
        </w:rPr>
        <w:t xml:space="preserve">. </w:t>
      </w:r>
      <w:r w:rsidR="0022770F" w:rsidRPr="00E876D2">
        <w:rPr>
          <w:rFonts w:cs="Arial"/>
          <w:szCs w:val="24"/>
        </w:rPr>
        <w:t>Also, t</w:t>
      </w:r>
      <w:r w:rsidR="003D12D9" w:rsidRPr="00E876D2">
        <w:rPr>
          <w:rFonts w:cs="Arial"/>
          <w:szCs w:val="24"/>
        </w:rPr>
        <w:t>he District</w:t>
      </w:r>
      <w:r w:rsidR="008968B4" w:rsidRPr="00E876D2">
        <w:rPr>
          <w:rFonts w:cs="Arial"/>
          <w:szCs w:val="24"/>
        </w:rPr>
        <w:t xml:space="preserve"> should separate information in debt disclosures regarding direct borrowings and direct placements of debt from other debt (GASB Cod. §1500, ¶.129, GASB 88 ¶6)</w:t>
      </w:r>
      <w:r w:rsidR="00E66CE4" w:rsidRPr="00E876D2">
        <w:rPr>
          <w:rFonts w:cs="Arial"/>
          <w:szCs w:val="24"/>
        </w:rPr>
        <w:t>.</w:t>
      </w:r>
      <w:r w:rsidR="008968B4" w:rsidRPr="00E876D2">
        <w:rPr>
          <w:rFonts w:cs="Arial"/>
          <w:szCs w:val="24"/>
        </w:rPr>
        <w:t xml:space="preserve"> </w:t>
      </w:r>
      <w:r w:rsidR="00851467" w:rsidRPr="00E876D2">
        <w:rPr>
          <w:rFonts w:cs="Arial"/>
          <w:szCs w:val="24"/>
        </w:rPr>
        <w:t>Information</w:t>
      </w:r>
      <w:r w:rsidR="00851467" w:rsidRPr="00D2583B">
        <w:rPr>
          <w:rFonts w:cs="Arial"/>
          <w:szCs w:val="24"/>
        </w:rPr>
        <w:t xml:space="preserve"> should include:</w:t>
      </w:r>
    </w:p>
    <w:p w14:paraId="700D6327" w14:textId="569957A1"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A schedule of changes in short-term debt, disclosing beginning and end-of-year balances, increases, and decreases</w:t>
      </w:r>
      <w:r w:rsidR="00D42CA7">
        <w:rPr>
          <w:rFonts w:cs="Arial"/>
          <w:szCs w:val="24"/>
        </w:rPr>
        <w:t>.</w:t>
      </w:r>
    </w:p>
    <w:p w14:paraId="700D6328" w14:textId="66253496"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purpose for which the short-term debt was issued</w:t>
      </w:r>
      <w:r w:rsidR="00C550F2">
        <w:rPr>
          <w:rFonts w:cs="Arial"/>
          <w:szCs w:val="24"/>
        </w:rPr>
        <w:t>.</w:t>
      </w:r>
    </w:p>
    <w:p w14:paraId="700D6330" w14:textId="5A65DBF7" w:rsidR="00E65D98" w:rsidRPr="00E876D2" w:rsidRDefault="00E65D98"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lastRenderedPageBreak/>
        <w:t xml:space="preserve">Long-term liabilities of the primary government should be divided into major classes of liabilities </w:t>
      </w:r>
      <w:r w:rsidR="00F65C30" w:rsidRPr="00D2583B">
        <w:rPr>
          <w:rFonts w:cs="Arial"/>
          <w:szCs w:val="24"/>
        </w:rPr>
        <w:t xml:space="preserve">including both long-term debt (such as bonds, </w:t>
      </w:r>
      <w:proofErr w:type="gramStart"/>
      <w:r w:rsidR="00F65C30" w:rsidRPr="00D2583B">
        <w:rPr>
          <w:rFonts w:cs="Arial"/>
          <w:szCs w:val="24"/>
        </w:rPr>
        <w:t>notes</w:t>
      </w:r>
      <w:proofErr w:type="gramEnd"/>
      <w:r w:rsidR="000D4174">
        <w:rPr>
          <w:rFonts w:cs="Arial"/>
          <w:szCs w:val="24"/>
        </w:rPr>
        <w:t xml:space="preserve"> </w:t>
      </w:r>
      <w:r w:rsidR="000D4174" w:rsidRPr="001F400A">
        <w:rPr>
          <w:rFonts w:cs="Arial"/>
          <w:szCs w:val="24"/>
        </w:rPr>
        <w:t>and</w:t>
      </w:r>
      <w:r w:rsidR="00F65C30" w:rsidRPr="001F400A">
        <w:rPr>
          <w:rFonts w:cs="Arial"/>
          <w:szCs w:val="24"/>
        </w:rPr>
        <w:t xml:space="preserve"> loans) and other long-term liabilities (such as </w:t>
      </w:r>
      <w:r w:rsidR="00B241BD" w:rsidRPr="001F400A">
        <w:rPr>
          <w:rFonts w:cs="Arial"/>
          <w:szCs w:val="24"/>
        </w:rPr>
        <w:t>net pension liability,</w:t>
      </w:r>
      <w:r w:rsidR="00B241BD">
        <w:rPr>
          <w:rFonts w:cs="Arial"/>
          <w:szCs w:val="24"/>
        </w:rPr>
        <w:t xml:space="preserve"> </w:t>
      </w:r>
      <w:r w:rsidR="00F65C30" w:rsidRPr="00D2583B">
        <w:rPr>
          <w:rFonts w:cs="Arial"/>
          <w:szCs w:val="24"/>
        </w:rPr>
        <w:t xml:space="preserve">compensated absences, </w:t>
      </w:r>
      <w:r w:rsidR="00D941B8" w:rsidRPr="004A5EEE">
        <w:rPr>
          <w:rFonts w:cs="Arial"/>
          <w:szCs w:val="24"/>
        </w:rPr>
        <w:t>leases payable</w:t>
      </w:r>
      <w:r w:rsidR="00D941B8">
        <w:rPr>
          <w:rFonts w:cs="Arial"/>
          <w:szCs w:val="24"/>
        </w:rPr>
        <w:t xml:space="preserve">, </w:t>
      </w:r>
      <w:r w:rsidR="004A5EEE" w:rsidRPr="004A5EEE">
        <w:rPr>
          <w:rFonts w:cs="Arial"/>
          <w:szCs w:val="24"/>
          <w:highlight w:val="yellow"/>
        </w:rPr>
        <w:t>subscription liabilities</w:t>
      </w:r>
      <w:r w:rsidR="004A5EEE">
        <w:rPr>
          <w:rFonts w:cs="Arial"/>
          <w:szCs w:val="24"/>
        </w:rPr>
        <w:t xml:space="preserve">, </w:t>
      </w:r>
      <w:r w:rsidR="00F65C30" w:rsidRPr="00D2583B">
        <w:rPr>
          <w:rFonts w:cs="Arial"/>
          <w:szCs w:val="24"/>
        </w:rPr>
        <w:t>claims and judgments</w:t>
      </w:r>
      <w:r w:rsidR="000031E4" w:rsidRPr="00D2583B">
        <w:rPr>
          <w:rFonts w:cs="Arial"/>
          <w:szCs w:val="24"/>
        </w:rPr>
        <w:t>, and pollution remediation obligations</w:t>
      </w:r>
      <w:r w:rsidR="00F65C30" w:rsidRPr="00D2583B">
        <w:rPr>
          <w:rFonts w:cs="Arial"/>
          <w:szCs w:val="24"/>
        </w:rPr>
        <w:t>)</w:t>
      </w:r>
      <w:r w:rsidR="004A35E5">
        <w:rPr>
          <w:rFonts w:cs="Arial"/>
          <w:szCs w:val="24"/>
        </w:rPr>
        <w:t>,</w:t>
      </w:r>
      <w:r w:rsidR="00F65C30" w:rsidRPr="00D2583B">
        <w:rPr>
          <w:rFonts w:cs="Arial"/>
          <w:szCs w:val="24"/>
        </w:rPr>
        <w:t xml:space="preserve"> </w:t>
      </w:r>
      <w:r w:rsidRPr="00D2583B">
        <w:rPr>
          <w:rFonts w:cs="Arial"/>
          <w:szCs w:val="24"/>
        </w:rPr>
        <w:t>as well as between those associated with governmental activities and those associated with business-type activities</w:t>
      </w:r>
      <w:r w:rsidR="00B241BD">
        <w:rPr>
          <w:rFonts w:cs="Arial"/>
          <w:szCs w:val="24"/>
        </w:rPr>
        <w:t xml:space="preserve"> </w:t>
      </w:r>
      <w:r w:rsidR="00B241BD" w:rsidRPr="00B241BD">
        <w:rPr>
          <w:rFonts w:cs="Arial"/>
          <w:szCs w:val="24"/>
        </w:rPr>
        <w:t>(GASB Cod. §2300, ¶s.117 and .120 and GASB 34, ¶119)</w:t>
      </w:r>
      <w:r w:rsidR="00E66CE4">
        <w:rPr>
          <w:rFonts w:cs="Arial"/>
          <w:szCs w:val="24"/>
        </w:rPr>
        <w:t>.</w:t>
      </w:r>
      <w:r w:rsidR="00CB291C" w:rsidRPr="00CB291C">
        <w:t xml:space="preserve"> </w:t>
      </w:r>
      <w:r w:rsidR="00CB291C" w:rsidRPr="00E876D2">
        <w:rPr>
          <w:rFonts w:cs="Arial"/>
          <w:szCs w:val="24"/>
        </w:rPr>
        <w:t xml:space="preserve">Further, </w:t>
      </w:r>
      <w:r w:rsidR="0017653A" w:rsidRPr="00E876D2">
        <w:rPr>
          <w:rFonts w:cs="Arial"/>
          <w:szCs w:val="24"/>
        </w:rPr>
        <w:t>the District</w:t>
      </w:r>
      <w:r w:rsidR="00CB291C" w:rsidRPr="00E876D2">
        <w:rPr>
          <w:rFonts w:cs="Arial"/>
          <w:szCs w:val="24"/>
        </w:rPr>
        <w:t xml:space="preserve"> should separate information in debt disclosures regarding direct borrowings and direct placements of debt from other debt (GASB Cod. §1500, ¶.129, GASB 88 ¶6) These disclosures should include:  </w:t>
      </w:r>
    </w:p>
    <w:p w14:paraId="700D6331" w14:textId="31E24D26"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Beginning and end-of-year balances</w:t>
      </w:r>
      <w:r w:rsidR="00D42CA7">
        <w:rPr>
          <w:rFonts w:cs="Arial"/>
          <w:szCs w:val="24"/>
        </w:rPr>
        <w:t>.</w:t>
      </w:r>
    </w:p>
    <w:p w14:paraId="700D6332" w14:textId="3591FEDD"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Increases and decreases </w:t>
      </w:r>
      <w:r w:rsidR="00B241BD">
        <w:rPr>
          <w:rFonts w:cs="Arial"/>
          <w:szCs w:val="24"/>
        </w:rPr>
        <w:t xml:space="preserve">during the fiscal year </w:t>
      </w:r>
      <w:r w:rsidRPr="00D2583B">
        <w:rPr>
          <w:rFonts w:cs="Arial"/>
          <w:szCs w:val="24"/>
        </w:rPr>
        <w:t>(separately presented)</w:t>
      </w:r>
      <w:r w:rsidR="00D42CA7">
        <w:rPr>
          <w:rFonts w:cs="Arial"/>
          <w:szCs w:val="24"/>
        </w:rPr>
        <w:t>.</w:t>
      </w:r>
    </w:p>
    <w:p w14:paraId="700D6333" w14:textId="2A6FEE35" w:rsidR="00E65D98" w:rsidRPr="00A97462" w:rsidRDefault="00E65D98"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The portions of each item that are due within 1 year of the statement date</w:t>
      </w:r>
      <w:r w:rsidR="00B241BD" w:rsidRPr="00B241BD">
        <w:rPr>
          <w:rFonts w:cs="Arial"/>
          <w:szCs w:val="24"/>
        </w:rPr>
        <w:t xml:space="preserve">; </w:t>
      </w:r>
      <w:r w:rsidR="00B241BD" w:rsidRPr="00A97462">
        <w:rPr>
          <w:rFonts w:cs="Arial"/>
          <w:szCs w:val="24"/>
        </w:rPr>
        <w:t>however, there would be no amount reported due within 1 year for the net pension liability unless the pension plan’s fiduciary net position is less than the amount of benefit payments expected to be paid within 1 year</w:t>
      </w:r>
      <w:r w:rsidR="00D42CA7" w:rsidRPr="00A97462">
        <w:rPr>
          <w:rFonts w:cs="Arial"/>
          <w:szCs w:val="24"/>
        </w:rPr>
        <w:t>.</w:t>
      </w:r>
      <w:r w:rsidR="00B241BD" w:rsidRPr="00A97462">
        <w:rPr>
          <w:rFonts w:cs="Arial"/>
          <w:szCs w:val="24"/>
        </w:rPr>
        <w:t xml:space="preserve"> (GASB Implementation Guide No. 2015-1, questions 7.22.6)</w:t>
      </w:r>
    </w:p>
    <w:p w14:paraId="700D6334" w14:textId="1C86AE89" w:rsidR="00E65D98" w:rsidRPr="00D2583B" w:rsidRDefault="00E65D98" w:rsidP="007E6A60">
      <w:pPr>
        <w:pStyle w:val="BodyTextIndent2"/>
        <w:numPr>
          <w:ilvl w:val="2"/>
          <w:numId w:val="20"/>
        </w:numPr>
        <w:tabs>
          <w:tab w:val="left" w:pos="-6390"/>
          <w:tab w:val="left" w:pos="-6300"/>
        </w:tabs>
        <w:spacing w:after="120"/>
        <w:jc w:val="left"/>
        <w:outlineLvl w:val="2"/>
        <w:rPr>
          <w:rFonts w:cs="Arial"/>
          <w:szCs w:val="24"/>
        </w:rPr>
      </w:pPr>
      <w:proofErr w:type="gramStart"/>
      <w:r w:rsidRPr="00D2583B">
        <w:rPr>
          <w:rFonts w:cs="Arial"/>
          <w:szCs w:val="24"/>
        </w:rPr>
        <w:t>Which governmental</w:t>
      </w:r>
      <w:proofErr w:type="gramEnd"/>
      <w:r w:rsidRPr="00D2583B">
        <w:rPr>
          <w:rFonts w:cs="Arial"/>
          <w:szCs w:val="24"/>
        </w:rPr>
        <w:t xml:space="preserve"> funds typically have been used to liquidate other long-term liabilities (such as compensated absences and </w:t>
      </w:r>
      <w:r w:rsidR="00B241BD">
        <w:rPr>
          <w:rFonts w:cs="Arial"/>
          <w:szCs w:val="24"/>
        </w:rPr>
        <w:t>claims and judgments</w:t>
      </w:r>
      <w:r w:rsidRPr="00D2583B">
        <w:rPr>
          <w:rFonts w:cs="Arial"/>
          <w:szCs w:val="24"/>
        </w:rPr>
        <w:t>) in prior years</w:t>
      </w:r>
      <w:r w:rsidR="00B241BD">
        <w:rPr>
          <w:rFonts w:cs="Arial"/>
          <w:szCs w:val="24"/>
        </w:rPr>
        <w:t>.</w:t>
      </w:r>
    </w:p>
    <w:p w14:paraId="700D6335" w14:textId="1E5B7FC4" w:rsidR="00851467" w:rsidRPr="00D2583B" w:rsidRDefault="00851467" w:rsidP="007E6A60">
      <w:pPr>
        <w:pStyle w:val="BodyTextIndent2"/>
        <w:keepNext/>
        <w:numPr>
          <w:ilvl w:val="1"/>
          <w:numId w:val="20"/>
        </w:numPr>
        <w:tabs>
          <w:tab w:val="left" w:pos="-6390"/>
          <w:tab w:val="left" w:pos="-6300"/>
        </w:tabs>
        <w:spacing w:after="120"/>
        <w:jc w:val="left"/>
        <w:outlineLvl w:val="1"/>
        <w:rPr>
          <w:rFonts w:cs="Arial"/>
          <w:szCs w:val="24"/>
        </w:rPr>
      </w:pPr>
      <w:r w:rsidRPr="00D2583B">
        <w:rPr>
          <w:rFonts w:cs="Arial"/>
          <w:szCs w:val="24"/>
        </w:rPr>
        <w:t>Bonds (GASB Cod. §§1500, 2300, B50, C65, D20, D30, and S40)</w:t>
      </w:r>
      <w:r w:rsidR="00E66CE4">
        <w:rPr>
          <w:rFonts w:cs="Arial"/>
          <w:szCs w:val="24"/>
        </w:rPr>
        <w:t>:</w:t>
      </w:r>
    </w:p>
    <w:p w14:paraId="700D6336" w14:textId="5DE05A3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Description of individual bond issues outstanding</w:t>
      </w:r>
      <w:r w:rsidR="00D42CA7">
        <w:rPr>
          <w:rFonts w:cs="Arial"/>
          <w:szCs w:val="24"/>
        </w:rPr>
        <w:t>.</w:t>
      </w:r>
    </w:p>
    <w:p w14:paraId="700D6337" w14:textId="7777777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 xml:space="preserve">Summary of debt service requirements to maturity. Include principal and interest requirements to maturity, presented separately for each of the </w:t>
      </w:r>
      <w:r w:rsidR="00966F15" w:rsidRPr="00D2583B">
        <w:rPr>
          <w:rFonts w:cs="Arial"/>
          <w:szCs w:val="24"/>
        </w:rPr>
        <w:t xml:space="preserve">5 </w:t>
      </w:r>
      <w:r w:rsidRPr="00D2583B">
        <w:rPr>
          <w:rFonts w:cs="Arial"/>
          <w:szCs w:val="24"/>
        </w:rPr>
        <w:t>succeeding fiscal years and in 5</w:t>
      </w:r>
      <w:r w:rsidRPr="00D2583B">
        <w:rPr>
          <w:rFonts w:cs="Arial"/>
          <w:szCs w:val="24"/>
        </w:rPr>
        <w:noBreakHyphen/>
        <w:t>year increments thereafter. Interest requirements for variable-rate debt should be determined using the rate in effect at the financial statement date. Also</w:t>
      </w:r>
      <w:r w:rsidR="00B716B2" w:rsidRPr="00D2583B">
        <w:rPr>
          <w:rFonts w:cs="Arial"/>
          <w:szCs w:val="24"/>
        </w:rPr>
        <w:t>,</w:t>
      </w:r>
      <w:r w:rsidRPr="00D2583B">
        <w:rPr>
          <w:rFonts w:cs="Arial"/>
          <w:szCs w:val="24"/>
        </w:rPr>
        <w:t xml:space="preserve"> disclose the terms by which interest rates change for variable-rate debt. (GASB 38</w:t>
      </w:r>
      <w:r w:rsidR="00614952" w:rsidRPr="00D2583B">
        <w:rPr>
          <w:rFonts w:cs="Arial"/>
          <w:szCs w:val="24"/>
        </w:rPr>
        <w:t>, ¶10</w:t>
      </w:r>
      <w:r w:rsidRPr="00D2583B">
        <w:rPr>
          <w:rFonts w:cs="Arial"/>
          <w:szCs w:val="24"/>
        </w:rPr>
        <w:t xml:space="preserve">) </w:t>
      </w:r>
    </w:p>
    <w:p w14:paraId="700D6338" w14:textId="417B27B7" w:rsidR="00851467"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Bonds authorized but unissued</w:t>
      </w:r>
      <w:r w:rsidR="00D42CA7">
        <w:rPr>
          <w:rFonts w:cs="Arial"/>
          <w:szCs w:val="24"/>
        </w:rPr>
        <w:t>.</w:t>
      </w:r>
    </w:p>
    <w:p w14:paraId="700D6339" w14:textId="52F88DF8" w:rsidR="0084309B" w:rsidRPr="00D2583B"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Synopsis of revenue bond covenants</w:t>
      </w:r>
      <w:r w:rsidR="00D42CA7">
        <w:rPr>
          <w:rFonts w:cs="Arial"/>
          <w:szCs w:val="24"/>
        </w:rPr>
        <w:t>.</w:t>
      </w:r>
    </w:p>
    <w:p w14:paraId="700D633A" w14:textId="3EC6EDF6" w:rsidR="00851467" w:rsidRDefault="00851467"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Debt extinguishments</w:t>
      </w:r>
      <w:r w:rsidR="006165EE">
        <w:rPr>
          <w:rFonts w:cs="Arial"/>
          <w:szCs w:val="24"/>
        </w:rPr>
        <w:t>.</w:t>
      </w:r>
    </w:p>
    <w:p w14:paraId="19032B3B" w14:textId="2EF3DEEF" w:rsidR="00C61243" w:rsidRPr="00D2583B" w:rsidRDefault="00C61243" w:rsidP="007E6A60">
      <w:pPr>
        <w:pStyle w:val="BodyTextIndent2"/>
        <w:numPr>
          <w:ilvl w:val="1"/>
          <w:numId w:val="20"/>
        </w:numPr>
        <w:tabs>
          <w:tab w:val="left" w:pos="-6390"/>
          <w:tab w:val="left" w:pos="-6300"/>
        </w:tabs>
        <w:spacing w:after="120"/>
        <w:jc w:val="left"/>
        <w:outlineLvl w:val="0"/>
        <w:rPr>
          <w:rFonts w:cs="Arial"/>
          <w:szCs w:val="24"/>
        </w:rPr>
      </w:pPr>
      <w:r w:rsidRPr="00D2583B">
        <w:rPr>
          <w:rFonts w:cs="Arial"/>
          <w:szCs w:val="24"/>
        </w:rPr>
        <w:t xml:space="preserve">Pledged revenues </w:t>
      </w:r>
      <w:r w:rsidRPr="00C61243">
        <w:rPr>
          <w:rFonts w:cs="Arial"/>
          <w:szCs w:val="24"/>
        </w:rPr>
        <w:t>(GASB Cod. §S20)</w:t>
      </w:r>
      <w:r w:rsidRPr="00D2583B">
        <w:rPr>
          <w:rFonts w:cs="Arial"/>
          <w:szCs w:val="24"/>
        </w:rPr>
        <w:t>. For each period in which the secured debt remains outstanding, pledging governments should disclose, in the notes to the financial statements, information about specific revenues pledged, including:</w:t>
      </w:r>
    </w:p>
    <w:p w14:paraId="299E2CE8" w14:textId="27B64E4E"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the specific revenue pledged and the approximate amount of the pledge</w:t>
      </w:r>
      <w:r w:rsidR="00D866AB">
        <w:rPr>
          <w:rFonts w:cs="Arial"/>
          <w:szCs w:val="24"/>
        </w:rPr>
        <w:t>.</w:t>
      </w:r>
    </w:p>
    <w:p w14:paraId="342D9C25" w14:textId="13E3A6D6"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Identification of, and general purpose for, the debt secured by the pledged revenue</w:t>
      </w:r>
      <w:r w:rsidR="00D866AB">
        <w:rPr>
          <w:rFonts w:cs="Arial"/>
          <w:szCs w:val="24"/>
        </w:rPr>
        <w:t>.</w:t>
      </w:r>
    </w:p>
    <w:p w14:paraId="54CC0571" w14:textId="6A19D234"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 xml:space="preserve">Term of </w:t>
      </w:r>
      <w:proofErr w:type="gramStart"/>
      <w:r w:rsidRPr="00D2583B">
        <w:rPr>
          <w:rFonts w:cs="Arial"/>
          <w:szCs w:val="24"/>
        </w:rPr>
        <w:t>the commitment</w:t>
      </w:r>
      <w:proofErr w:type="gramEnd"/>
      <w:r w:rsidR="00D866AB">
        <w:rPr>
          <w:rFonts w:cs="Arial"/>
          <w:szCs w:val="24"/>
        </w:rPr>
        <w:t>.</w:t>
      </w:r>
    </w:p>
    <w:p w14:paraId="31F99D43" w14:textId="26D7C158" w:rsidR="00C61243" w:rsidRPr="00D2583B" w:rsidRDefault="00C61243" w:rsidP="007E6A60">
      <w:pPr>
        <w:pStyle w:val="BodyTextIndent2"/>
        <w:numPr>
          <w:ilvl w:val="2"/>
          <w:numId w:val="20"/>
        </w:numPr>
        <w:tabs>
          <w:tab w:val="left" w:pos="-6390"/>
          <w:tab w:val="left" w:pos="-6300"/>
        </w:tabs>
        <w:spacing w:after="120"/>
        <w:jc w:val="left"/>
        <w:outlineLvl w:val="1"/>
        <w:rPr>
          <w:rFonts w:cs="Arial"/>
          <w:szCs w:val="24"/>
        </w:rPr>
      </w:pPr>
      <w:r w:rsidRPr="00D2583B">
        <w:rPr>
          <w:rFonts w:cs="Arial"/>
          <w:szCs w:val="24"/>
        </w:rPr>
        <w:t>Relationship of the pledged amount to the total for that specific revenue stream</w:t>
      </w:r>
      <w:r w:rsidR="00D866AB">
        <w:rPr>
          <w:rFonts w:cs="Arial"/>
          <w:szCs w:val="24"/>
        </w:rPr>
        <w:t>.</w:t>
      </w:r>
    </w:p>
    <w:p w14:paraId="2603E8DF" w14:textId="4B8F92A3" w:rsidR="00C61243" w:rsidRPr="00C61243" w:rsidRDefault="00C61243" w:rsidP="007E6A60">
      <w:pPr>
        <w:pStyle w:val="BodyTextIndent2"/>
        <w:numPr>
          <w:ilvl w:val="2"/>
          <w:numId w:val="20"/>
        </w:numPr>
        <w:tabs>
          <w:tab w:val="left" w:pos="-6390"/>
          <w:tab w:val="left" w:pos="-6300"/>
        </w:tabs>
        <w:spacing w:after="120"/>
        <w:jc w:val="left"/>
        <w:outlineLvl w:val="2"/>
        <w:rPr>
          <w:rFonts w:cs="Arial"/>
          <w:szCs w:val="24"/>
        </w:rPr>
      </w:pPr>
      <w:r w:rsidRPr="00C61243">
        <w:rPr>
          <w:rFonts w:cs="Arial"/>
          <w:szCs w:val="24"/>
        </w:rPr>
        <w:lastRenderedPageBreak/>
        <w:t>Comparison of the pledged revenues recognized during the period to the principal and interest requirements for the debt directly or indirectly collateralized by those revenues.</w:t>
      </w:r>
    </w:p>
    <w:p w14:paraId="700D633B" w14:textId="002FDA6A"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Demand bonds</w:t>
      </w:r>
      <w:r w:rsidR="00013D3B">
        <w:rPr>
          <w:rFonts w:cs="Arial"/>
          <w:szCs w:val="24"/>
        </w:rPr>
        <w:t>.</w:t>
      </w:r>
      <w:r w:rsidRPr="00D2583B">
        <w:rPr>
          <w:rFonts w:cs="Arial"/>
          <w:szCs w:val="24"/>
        </w:rPr>
        <w:t xml:space="preserve"> (GASB Cod. §D30)</w:t>
      </w:r>
    </w:p>
    <w:p w14:paraId="700D633C" w14:textId="5EA70260"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bookmarkStart w:id="1" w:name="_Hlk513562615"/>
      <w:r w:rsidRPr="00D2583B">
        <w:rPr>
          <w:rFonts w:cs="Arial"/>
          <w:szCs w:val="24"/>
        </w:rPr>
        <w:t>Debt refunding</w:t>
      </w:r>
      <w:r w:rsidR="00163C75">
        <w:rPr>
          <w:rFonts w:cs="Arial"/>
          <w:szCs w:val="24"/>
        </w:rPr>
        <w:t>/</w:t>
      </w:r>
      <w:r w:rsidR="00007547">
        <w:rPr>
          <w:rFonts w:cs="Arial"/>
          <w:szCs w:val="24"/>
        </w:rPr>
        <w:t>extinguishment</w:t>
      </w:r>
      <w:r w:rsidRPr="00D2583B">
        <w:rPr>
          <w:rFonts w:cs="Arial"/>
          <w:szCs w:val="24"/>
        </w:rPr>
        <w:t xml:space="preserve"> (GASB Cod. §D20)</w:t>
      </w:r>
      <w:r w:rsidR="00E66CE4">
        <w:rPr>
          <w:rFonts w:cs="Arial"/>
          <w:szCs w:val="24"/>
        </w:rPr>
        <w:t>:</w:t>
      </w:r>
    </w:p>
    <w:bookmarkEnd w:id="1"/>
    <w:p w14:paraId="700D633D" w14:textId="2DF37767" w:rsidR="00FC7EE9" w:rsidRPr="00D2583B" w:rsidRDefault="00007547" w:rsidP="007E6A60">
      <w:pPr>
        <w:pStyle w:val="BodyTextIndent2"/>
        <w:numPr>
          <w:ilvl w:val="2"/>
          <w:numId w:val="20"/>
        </w:numPr>
        <w:tabs>
          <w:tab w:val="left" w:pos="-6390"/>
          <w:tab w:val="left" w:pos="-6300"/>
        </w:tabs>
        <w:spacing w:after="120"/>
        <w:jc w:val="left"/>
        <w:outlineLvl w:val="2"/>
        <w:rPr>
          <w:rFonts w:cs="Arial"/>
          <w:szCs w:val="24"/>
        </w:rPr>
      </w:pPr>
      <w:r>
        <w:rPr>
          <w:rFonts w:cs="Arial"/>
          <w:szCs w:val="24"/>
        </w:rPr>
        <w:t xml:space="preserve">Defeasance (current and advance </w:t>
      </w:r>
      <w:proofErr w:type="spellStart"/>
      <w:r>
        <w:rPr>
          <w:rFonts w:cs="Arial"/>
          <w:szCs w:val="24"/>
        </w:rPr>
        <w:t>refundings</w:t>
      </w:r>
      <w:proofErr w:type="spellEnd"/>
      <w:r>
        <w:rPr>
          <w:rFonts w:cs="Arial"/>
          <w:szCs w:val="24"/>
        </w:rPr>
        <w:t>), i</w:t>
      </w:r>
      <w:r w:rsidR="00FC7EE9" w:rsidRPr="00D2583B">
        <w:rPr>
          <w:rFonts w:cs="Arial"/>
          <w:szCs w:val="24"/>
        </w:rPr>
        <w:t>f current year, disclose</w:t>
      </w:r>
      <w:r w:rsidR="006A06B8">
        <w:rPr>
          <w:rFonts w:cs="Arial"/>
          <w:szCs w:val="24"/>
        </w:rPr>
        <w:t>:</w:t>
      </w:r>
    </w:p>
    <w:p w14:paraId="700D633E" w14:textId="1A6DC7AB" w:rsidR="00FC7EE9"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The difference in cash flows required to service old and new debt</w:t>
      </w:r>
      <w:r w:rsidR="00D866AB">
        <w:rPr>
          <w:rFonts w:cs="Arial"/>
          <w:szCs w:val="24"/>
        </w:rPr>
        <w:t>.</w:t>
      </w:r>
    </w:p>
    <w:p w14:paraId="700D633F" w14:textId="6AEEF167" w:rsidR="00AA4473" w:rsidRPr="00D2583B" w:rsidRDefault="00AA4473" w:rsidP="007E6A60">
      <w:pPr>
        <w:pStyle w:val="BodyTextIndent2"/>
        <w:numPr>
          <w:ilvl w:val="3"/>
          <w:numId w:val="20"/>
        </w:numPr>
        <w:tabs>
          <w:tab w:val="left" w:pos="-6390"/>
          <w:tab w:val="left" w:pos="-6300"/>
        </w:tabs>
        <w:spacing w:after="120"/>
        <w:jc w:val="left"/>
        <w:outlineLvl w:val="3"/>
        <w:rPr>
          <w:rFonts w:cs="Arial"/>
          <w:szCs w:val="24"/>
        </w:rPr>
      </w:pPr>
      <w:r w:rsidRPr="00D2583B">
        <w:rPr>
          <w:rFonts w:cs="Arial"/>
          <w:szCs w:val="24"/>
        </w:rPr>
        <w:t>Economic gain or loss from advance refunding</w:t>
      </w:r>
      <w:r w:rsidR="00B241BD">
        <w:rPr>
          <w:rFonts w:cs="Arial"/>
          <w:szCs w:val="24"/>
        </w:rPr>
        <w:t>.</w:t>
      </w:r>
    </w:p>
    <w:p w14:paraId="700D6340" w14:textId="57F1AD71" w:rsidR="00614952" w:rsidRPr="007C377A" w:rsidRDefault="00614952" w:rsidP="007E6A60">
      <w:pPr>
        <w:pStyle w:val="BodyTextIndent2"/>
        <w:numPr>
          <w:ilvl w:val="2"/>
          <w:numId w:val="20"/>
        </w:numPr>
        <w:tabs>
          <w:tab w:val="left" w:pos="-6390"/>
          <w:tab w:val="left" w:pos="-6300"/>
        </w:tabs>
        <w:spacing w:after="120"/>
        <w:jc w:val="left"/>
        <w:outlineLvl w:val="2"/>
        <w:rPr>
          <w:rFonts w:cs="Arial"/>
          <w:szCs w:val="24"/>
        </w:rPr>
      </w:pPr>
      <w:r w:rsidRPr="00D2583B">
        <w:rPr>
          <w:rFonts w:cs="Arial"/>
          <w:szCs w:val="24"/>
        </w:rPr>
        <w:t>In</w:t>
      </w:r>
      <w:r w:rsidR="00F638CF">
        <w:rPr>
          <w:rFonts w:cs="Arial"/>
          <w:szCs w:val="24"/>
        </w:rPr>
        <w:t xml:space="preserve">-substance defeasance, in subsequent years, disclose the </w:t>
      </w:r>
      <w:r w:rsidR="007F25CF">
        <w:rPr>
          <w:rFonts w:cs="Arial"/>
          <w:szCs w:val="24"/>
        </w:rPr>
        <w:t>outstanding balance of</w:t>
      </w:r>
      <w:r w:rsidRPr="00D2583B">
        <w:rPr>
          <w:rFonts w:cs="Arial"/>
          <w:szCs w:val="24"/>
        </w:rPr>
        <w:t xml:space="preserve"> advance refund</w:t>
      </w:r>
      <w:r w:rsidR="007F25CF">
        <w:rPr>
          <w:rFonts w:cs="Arial"/>
          <w:szCs w:val="24"/>
        </w:rPr>
        <w:t xml:space="preserve">ed </w:t>
      </w:r>
      <w:r w:rsidRPr="00D2583B">
        <w:rPr>
          <w:rFonts w:cs="Arial"/>
          <w:szCs w:val="24"/>
        </w:rPr>
        <w:t xml:space="preserve">debt, if any, </w:t>
      </w:r>
      <w:r w:rsidRPr="007C377A">
        <w:rPr>
          <w:rFonts w:cs="Arial"/>
          <w:szCs w:val="24"/>
        </w:rPr>
        <w:t>outstanding at period-end</w:t>
      </w:r>
      <w:r w:rsidR="00C61243" w:rsidRPr="007C377A">
        <w:rPr>
          <w:rFonts w:cs="Arial"/>
          <w:szCs w:val="24"/>
        </w:rPr>
        <w:t xml:space="preserve">. </w:t>
      </w:r>
      <w:r w:rsidRPr="007C377A">
        <w:rPr>
          <w:rFonts w:cs="Arial"/>
          <w:szCs w:val="24"/>
        </w:rPr>
        <w:t>(GASB Cod. §D20.11</w:t>
      </w:r>
      <w:r w:rsidR="00900436" w:rsidRPr="007C377A">
        <w:rPr>
          <w:rFonts w:cs="Arial"/>
          <w:szCs w:val="24"/>
        </w:rPr>
        <w:t>7</w:t>
      </w:r>
      <w:r w:rsidRPr="007C377A">
        <w:rPr>
          <w:rFonts w:cs="Arial"/>
          <w:szCs w:val="24"/>
        </w:rPr>
        <w:t>)</w:t>
      </w:r>
    </w:p>
    <w:p w14:paraId="0169712E" w14:textId="556ACA7E" w:rsidR="00A97462" w:rsidRPr="007C377A" w:rsidRDefault="00A97462" w:rsidP="007E6A60">
      <w:pPr>
        <w:pStyle w:val="ListParagraph"/>
        <w:numPr>
          <w:ilvl w:val="0"/>
          <w:numId w:val="23"/>
        </w:numPr>
        <w:tabs>
          <w:tab w:val="left" w:pos="-6390"/>
          <w:tab w:val="left" w:pos="-6300"/>
        </w:tabs>
        <w:spacing w:after="120"/>
        <w:ind w:left="810" w:hanging="270"/>
        <w:outlineLvl w:val="2"/>
        <w:rPr>
          <w:rFonts w:cs="Arial"/>
          <w:szCs w:val="24"/>
        </w:rPr>
      </w:pPr>
      <w:r w:rsidRPr="007C377A">
        <w:rPr>
          <w:rFonts w:ascii="Arial" w:hAnsi="Arial" w:cs="Arial"/>
          <w:color w:val="000000"/>
          <w:sz w:val="24"/>
          <w:szCs w:val="24"/>
        </w:rPr>
        <w:t>In-substance defeasance of debt using only existing resources. (GASB Cod. §D20 and GASB 86)</w:t>
      </w:r>
    </w:p>
    <w:p w14:paraId="700D6341" w14:textId="3F512555" w:rsidR="00851467" w:rsidRPr="00D2583B" w:rsidRDefault="00851467"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Tax and revenue anticipation notes</w:t>
      </w:r>
      <w:r w:rsidR="00013D3B">
        <w:rPr>
          <w:rFonts w:cs="Arial"/>
          <w:szCs w:val="24"/>
        </w:rPr>
        <w:t>.</w:t>
      </w:r>
      <w:r w:rsidRPr="00D2583B">
        <w:rPr>
          <w:rFonts w:cs="Arial"/>
          <w:szCs w:val="24"/>
        </w:rPr>
        <w:t xml:space="preserve"> (GASB Cod. §B50)</w:t>
      </w:r>
    </w:p>
    <w:p w14:paraId="700D6342" w14:textId="691571DE" w:rsidR="00E95D3C" w:rsidRPr="007B3FF4" w:rsidRDefault="00851467"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Lease</w:t>
      </w:r>
      <w:r w:rsidR="00912BF3" w:rsidRPr="007B3FF4">
        <w:rPr>
          <w:rFonts w:cs="Arial"/>
          <w:szCs w:val="24"/>
        </w:rPr>
        <w:t>s</w:t>
      </w:r>
      <w:r w:rsidRPr="007B3FF4">
        <w:rPr>
          <w:rFonts w:cs="Arial"/>
          <w:szCs w:val="24"/>
        </w:rPr>
        <w:t xml:space="preserve"> </w:t>
      </w:r>
      <w:r w:rsidR="00C04E0D" w:rsidRPr="007B3FF4">
        <w:rPr>
          <w:rFonts w:cs="Arial"/>
          <w:szCs w:val="24"/>
        </w:rPr>
        <w:t xml:space="preserve">(generally addresses disclosure requirements for the </w:t>
      </w:r>
      <w:proofErr w:type="gramStart"/>
      <w:r w:rsidR="00C04E0D" w:rsidRPr="007B3FF4">
        <w:rPr>
          <w:rFonts w:cs="Arial"/>
          <w:szCs w:val="24"/>
        </w:rPr>
        <w:t>District</w:t>
      </w:r>
      <w:proofErr w:type="gramEnd"/>
      <w:r w:rsidR="00C04E0D" w:rsidRPr="007B3FF4">
        <w:rPr>
          <w:rFonts w:cs="Arial"/>
          <w:szCs w:val="24"/>
        </w:rPr>
        <w:t xml:space="preserve"> as </w:t>
      </w:r>
      <w:r w:rsidR="00C04E0D" w:rsidRPr="007B3FF4">
        <w:rPr>
          <w:rFonts w:cs="Arial"/>
          <w:b/>
          <w:bCs/>
          <w:szCs w:val="24"/>
        </w:rPr>
        <w:t>lessee</w:t>
      </w:r>
      <w:r w:rsidR="00C04E0D" w:rsidRPr="007B3FF4">
        <w:rPr>
          <w:rFonts w:cs="Arial"/>
          <w:szCs w:val="24"/>
        </w:rPr>
        <w:t>, see also GASB Cod. §L20)</w:t>
      </w:r>
      <w:r w:rsidR="001A3F4D" w:rsidRPr="007B3FF4">
        <w:rPr>
          <w:rFonts w:cs="Arial"/>
          <w:szCs w:val="24"/>
        </w:rPr>
        <w:t>:</w:t>
      </w:r>
    </w:p>
    <w:p w14:paraId="3CD552CD" w14:textId="77777777" w:rsidR="00DF5435" w:rsidRPr="007B3FF4" w:rsidRDefault="005D047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A general description of its leasing arrangements, including (1) the basis, terms, and conditions on which variable payments not included in the measurement of the lease liability are determined and (2) the existence, terms, and conditions of residual value guarantees provided by the lessee not included in the measurement of the lease liability. (GASB 87, ¶37[a])</w:t>
      </w:r>
    </w:p>
    <w:p w14:paraId="238949E7" w14:textId="77777777" w:rsidR="009A3D07" w:rsidRPr="007B3FF4" w:rsidRDefault="009A3D07"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total amount of lease assets, and the related accumulated amortization, disclosed separately from other capital assets. (GASB 87, ¶37[b])</w:t>
      </w:r>
    </w:p>
    <w:p w14:paraId="5D8E08FC" w14:textId="77777777" w:rsidR="00797334" w:rsidRPr="007B3FF4" w:rsidRDefault="00B23C1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variable payments not previously included in the measurement of the lease liability.</w:t>
      </w:r>
      <w:r w:rsidR="005D1F13" w:rsidRPr="007B3FF4">
        <w:rPr>
          <w:rFonts w:cs="Arial"/>
          <w:szCs w:val="24"/>
        </w:rPr>
        <w:t xml:space="preserve"> </w:t>
      </w:r>
      <w:r w:rsidRPr="007B3FF4">
        <w:rPr>
          <w:rFonts w:cs="Arial"/>
          <w:szCs w:val="24"/>
        </w:rPr>
        <w:t>(GASB 87, ¶37[d])</w:t>
      </w:r>
    </w:p>
    <w:p w14:paraId="57BA463A" w14:textId="77777777" w:rsidR="00714259" w:rsidRPr="007B3FF4" w:rsidRDefault="003C4EB6"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amount of outflows of resources recognized in the reporting period for other payments, such as residual value guarantees or termination penalties, not previously included in the measurement of the lease liability. (GASB 87, ¶37[e])</w:t>
      </w:r>
    </w:p>
    <w:p w14:paraId="3481F369" w14:textId="77777777" w:rsidR="0018373B" w:rsidRPr="007B3FF4" w:rsidRDefault="0018373B"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Principal and interest requirements to maturity, presented separately, for the lease liability for each of the five subsequent fiscal years and in five-year increments thereafter. (GASB 87, ¶37[f])</w:t>
      </w:r>
    </w:p>
    <w:p w14:paraId="03CBAF80" w14:textId="77777777" w:rsidR="00D06988" w:rsidRPr="007B3FF4" w:rsidRDefault="00D06988"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components of any loss associated with an impairment (the impairment loss and any related change in the lease liability, as discussed in GASB 87, ¶37[h]).</w:t>
      </w:r>
    </w:p>
    <w:p w14:paraId="01F1E0F3" w14:textId="77777777" w:rsidR="00691F6E" w:rsidRPr="007B3FF4" w:rsidRDefault="00691F6E"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Sublease transactions. (GASB 87, ¶38[a])</w:t>
      </w:r>
    </w:p>
    <w:p w14:paraId="700D6345" w14:textId="4780147E" w:rsidR="00EF7295"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Sale-leaseback transactions. (GASB 87, ¶38[b])</w:t>
      </w:r>
      <w:r w:rsidR="006E34E8" w:rsidRPr="007B3FF4">
        <w:rPr>
          <w:rFonts w:cs="Arial"/>
          <w:szCs w:val="24"/>
        </w:rPr>
        <w:t xml:space="preserve"> </w:t>
      </w:r>
    </w:p>
    <w:p w14:paraId="04602E3B" w14:textId="16DAE065" w:rsidR="006B2071" w:rsidRPr="007B3FF4" w:rsidRDefault="006B207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Lease-leaseback transactions. (GASB 87, ¶38[c])</w:t>
      </w:r>
    </w:p>
    <w:p w14:paraId="789A04B5" w14:textId="75EFD834" w:rsidR="006B2071" w:rsidRPr="007B3FF4" w:rsidRDefault="008977F1"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lastRenderedPageBreak/>
        <w:t xml:space="preserve">A lessee is not required to disclose collateral pledged as </w:t>
      </w:r>
      <w:proofErr w:type="gramStart"/>
      <w:r w:rsidRPr="007B3FF4">
        <w:rPr>
          <w:rFonts w:cs="Arial"/>
          <w:szCs w:val="24"/>
        </w:rPr>
        <w:t>a security</w:t>
      </w:r>
      <w:proofErr w:type="gramEnd"/>
      <w:r w:rsidRPr="007B3FF4">
        <w:rPr>
          <w:rFonts w:cs="Arial"/>
          <w:szCs w:val="24"/>
        </w:rPr>
        <w:t xml:space="preserve"> for a lease (under paragraph .168 of Section C50, "Claims and Judgments") if that collateral is solely the asset underlying the lease. (GASBS 87, ¶39)</w:t>
      </w:r>
    </w:p>
    <w:p w14:paraId="35FD78F4" w14:textId="366E7EDD" w:rsidR="00FA3B6A" w:rsidRPr="007B3FF4" w:rsidRDefault="00FA3B6A" w:rsidP="007E6A60">
      <w:pPr>
        <w:pStyle w:val="BodyTextIndent2"/>
        <w:numPr>
          <w:ilvl w:val="2"/>
          <w:numId w:val="20"/>
        </w:numPr>
        <w:tabs>
          <w:tab w:val="left" w:pos="-6390"/>
          <w:tab w:val="left" w:pos="-6300"/>
        </w:tabs>
        <w:spacing w:after="120"/>
        <w:jc w:val="left"/>
        <w:outlineLvl w:val="2"/>
        <w:rPr>
          <w:rFonts w:cs="Arial"/>
          <w:szCs w:val="24"/>
        </w:rPr>
      </w:pPr>
      <w:r w:rsidRPr="007B3FF4">
        <w:rPr>
          <w:rFonts w:cs="Arial"/>
          <w:szCs w:val="24"/>
        </w:rPr>
        <w:t>The existence, terms, and conditions of options by the lessee to terminate the lease or abate payments if the lessor government has issued debt for which the principal and interest payments are secured by the lease payments. (GASB 87, ¶57[d])</w:t>
      </w:r>
    </w:p>
    <w:p w14:paraId="700D6346" w14:textId="31C087A9" w:rsidR="00851467" w:rsidRDefault="00D0127B" w:rsidP="007E6A60">
      <w:pPr>
        <w:pStyle w:val="BodyTextIndent2"/>
        <w:numPr>
          <w:ilvl w:val="1"/>
          <w:numId w:val="20"/>
        </w:numPr>
        <w:tabs>
          <w:tab w:val="left" w:pos="-6390"/>
          <w:tab w:val="left" w:pos="-6300"/>
        </w:tabs>
        <w:spacing w:after="120"/>
        <w:jc w:val="left"/>
        <w:outlineLvl w:val="1"/>
        <w:rPr>
          <w:rFonts w:cs="Arial"/>
          <w:szCs w:val="24"/>
        </w:rPr>
      </w:pPr>
      <w:r w:rsidRPr="007B3FF4">
        <w:rPr>
          <w:rFonts w:cs="Arial"/>
          <w:szCs w:val="24"/>
        </w:rPr>
        <w:t>Financed purchases</w:t>
      </w:r>
      <w:r w:rsidR="00851467" w:rsidRPr="00D2583B">
        <w:rPr>
          <w:rFonts w:cs="Arial"/>
          <w:szCs w:val="24"/>
        </w:rPr>
        <w:t xml:space="preserve">—disclosures </w:t>
      </w:r>
      <w:proofErr w:type="gramStart"/>
      <w:r w:rsidR="00851467" w:rsidRPr="00D2583B">
        <w:rPr>
          <w:rFonts w:cs="Arial"/>
          <w:szCs w:val="24"/>
        </w:rPr>
        <w:t>similar to</w:t>
      </w:r>
      <w:proofErr w:type="gramEnd"/>
      <w:r w:rsidR="00851467" w:rsidRPr="00D2583B">
        <w:rPr>
          <w:rFonts w:cs="Arial"/>
          <w:szCs w:val="24"/>
        </w:rPr>
        <w:t xml:space="preserve"> </w:t>
      </w:r>
      <w:r w:rsidR="000F070F" w:rsidRPr="00D2583B">
        <w:rPr>
          <w:rFonts w:cs="Arial"/>
          <w:szCs w:val="24"/>
        </w:rPr>
        <w:t>bonds</w:t>
      </w:r>
      <w:r w:rsidR="00C61243">
        <w:rPr>
          <w:rFonts w:cs="Arial"/>
          <w:szCs w:val="24"/>
        </w:rPr>
        <w:t>.</w:t>
      </w:r>
    </w:p>
    <w:p w14:paraId="2F3C5B5E" w14:textId="5E5DC61B" w:rsidR="00BB2F49" w:rsidRPr="00FF306E" w:rsidRDefault="00BB2F49" w:rsidP="007E6A60">
      <w:pPr>
        <w:pStyle w:val="BodyTextIndent2"/>
        <w:numPr>
          <w:ilvl w:val="1"/>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Subscription-based information technology arrangements</w:t>
      </w:r>
      <w:r w:rsidR="00081E8C" w:rsidRPr="00FF306E">
        <w:rPr>
          <w:rFonts w:cs="Arial"/>
          <w:szCs w:val="24"/>
          <w:highlight w:val="yellow"/>
        </w:rPr>
        <w:t>.</w:t>
      </w:r>
      <w:r w:rsidR="00081E8C" w:rsidRPr="00FF306E">
        <w:rPr>
          <w:highlight w:val="yellow"/>
        </w:rPr>
        <w:t xml:space="preserve"> </w:t>
      </w:r>
      <w:r w:rsidR="00081E8C" w:rsidRPr="00FF306E">
        <w:rPr>
          <w:rFonts w:cs="Arial"/>
          <w:szCs w:val="24"/>
          <w:highlight w:val="yellow"/>
        </w:rPr>
        <w:t>(SBITAs, see GASB Codification Section S80, “Subscription-Based Information Technology Arrangements,” paragraphs .159 and .160.)</w:t>
      </w:r>
    </w:p>
    <w:p w14:paraId="7873ED59" w14:textId="584E6AE6" w:rsidR="00CA7BEF" w:rsidRPr="00FF306E" w:rsidRDefault="00CA7BEF"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A general description of its SBITAs, including the basis, terms, and conditions on which variable payments not included in the measurement of the subscription liability are determined. (GASB 96, ¶60[a])</w:t>
      </w:r>
    </w:p>
    <w:p w14:paraId="1BDF735D" w14:textId="02A62F79" w:rsidR="00CA7BEF" w:rsidRPr="00FF306E" w:rsidRDefault="00E077D7"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The total amount of subscription assets, and the related accumulated amortization, disclosed separately from other capital assets. (GASB 96, ¶60[b])</w:t>
      </w:r>
    </w:p>
    <w:p w14:paraId="464A676F" w14:textId="3AD64DCD" w:rsidR="00E077D7" w:rsidRPr="00FF306E" w:rsidRDefault="00E077D7"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 xml:space="preserve">The amount of outflows of resources recognized in the reporting period for variable payments </w:t>
      </w:r>
      <w:proofErr w:type="gramStart"/>
      <w:r w:rsidRPr="00FF306E">
        <w:rPr>
          <w:rFonts w:cs="Arial"/>
          <w:szCs w:val="24"/>
          <w:highlight w:val="yellow"/>
        </w:rPr>
        <w:t>not</w:t>
      </w:r>
      <w:proofErr w:type="gramEnd"/>
      <w:r w:rsidRPr="00FF306E">
        <w:rPr>
          <w:rFonts w:cs="Arial"/>
          <w:szCs w:val="24"/>
          <w:highlight w:val="yellow"/>
        </w:rPr>
        <w:t xml:space="preserve"> previously included in the measurement of the subscription liability. (GASB 96, ¶60[c])</w:t>
      </w:r>
    </w:p>
    <w:p w14:paraId="6E0C28DC" w14:textId="55C1B651" w:rsidR="00277E96" w:rsidRPr="00FF306E" w:rsidRDefault="00277E96"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 xml:space="preserve">The amount of outflows of resources recognized in the reporting period for other payments, such as termination penalties, </w:t>
      </w:r>
      <w:proofErr w:type="gramStart"/>
      <w:r w:rsidRPr="00FF306E">
        <w:rPr>
          <w:rFonts w:cs="Arial"/>
          <w:szCs w:val="24"/>
          <w:highlight w:val="yellow"/>
        </w:rPr>
        <w:t>not</w:t>
      </w:r>
      <w:proofErr w:type="gramEnd"/>
      <w:r w:rsidRPr="00FF306E">
        <w:rPr>
          <w:rFonts w:cs="Arial"/>
          <w:szCs w:val="24"/>
          <w:highlight w:val="yellow"/>
        </w:rPr>
        <w:t xml:space="preserve"> previously included in the measurement of the subscription liability. (GASB 96, ¶60[d])</w:t>
      </w:r>
    </w:p>
    <w:p w14:paraId="63387027" w14:textId="4CDE0F59" w:rsidR="00277E96" w:rsidRPr="00FF306E" w:rsidRDefault="00277E96"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Principal and interest requirements to maturity, presented separately, for the subscription liability for each of the five subsequent fiscal years and in five-year increments thereafter. (GASB 96, ¶60[e])</w:t>
      </w:r>
    </w:p>
    <w:p w14:paraId="39A72EC1" w14:textId="4BC335DD" w:rsidR="00F818BF" w:rsidRPr="00FF306E" w:rsidRDefault="00F818BF" w:rsidP="00CA7BEF">
      <w:pPr>
        <w:pStyle w:val="BodyTextIndent2"/>
        <w:numPr>
          <w:ilvl w:val="2"/>
          <w:numId w:val="20"/>
        </w:numPr>
        <w:tabs>
          <w:tab w:val="left" w:pos="-6390"/>
          <w:tab w:val="left" w:pos="-6300"/>
        </w:tabs>
        <w:spacing w:after="120"/>
        <w:jc w:val="left"/>
        <w:outlineLvl w:val="1"/>
        <w:rPr>
          <w:rFonts w:cs="Arial"/>
          <w:szCs w:val="24"/>
          <w:highlight w:val="yellow"/>
        </w:rPr>
      </w:pPr>
      <w:r w:rsidRPr="00FF306E">
        <w:rPr>
          <w:rFonts w:cs="Arial"/>
          <w:szCs w:val="24"/>
          <w:highlight w:val="yellow"/>
        </w:rPr>
        <w:t>The components of any loss associated with an impairment (the impairment loss and any related change in the subscription liability, as discussed in paragraph as discussed in GASB 96, ¶60[g]).</w:t>
      </w:r>
    </w:p>
    <w:p w14:paraId="1ED76355" w14:textId="2FDF343B" w:rsidR="0085765F" w:rsidRPr="00FF306E" w:rsidRDefault="0085765F" w:rsidP="0085765F">
      <w:pPr>
        <w:pStyle w:val="BodyTextIndent2"/>
        <w:numPr>
          <w:ilvl w:val="0"/>
          <w:numId w:val="23"/>
        </w:numPr>
        <w:tabs>
          <w:tab w:val="left" w:pos="-6390"/>
          <w:tab w:val="left" w:pos="-6300"/>
        </w:tabs>
        <w:spacing w:after="120"/>
        <w:jc w:val="left"/>
        <w:outlineLvl w:val="1"/>
        <w:rPr>
          <w:rFonts w:cs="Arial"/>
          <w:szCs w:val="24"/>
          <w:highlight w:val="yellow"/>
        </w:rPr>
      </w:pPr>
      <w:r w:rsidRPr="00FF306E">
        <w:rPr>
          <w:rFonts w:cs="Arial"/>
          <w:szCs w:val="24"/>
          <w:highlight w:val="yellow"/>
        </w:rPr>
        <w:t xml:space="preserve">Entity involvement in conduit debt obligations. </w:t>
      </w:r>
      <w:r w:rsidR="00FF306E" w:rsidRPr="00FF306E">
        <w:rPr>
          <w:rFonts w:cs="Arial"/>
          <w:szCs w:val="24"/>
          <w:highlight w:val="yellow"/>
        </w:rPr>
        <w:t>(See Section C65, “Conduit Debt Obligations,” paragraphs .121–.123.)</w:t>
      </w:r>
    </w:p>
    <w:p w14:paraId="7E4CDA9B" w14:textId="7DEEF33C" w:rsidR="00620670" w:rsidRPr="006A73D8" w:rsidRDefault="004A492B"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Amount of unused lines of credit</w:t>
      </w:r>
      <w:r w:rsidR="000019C7" w:rsidRPr="006A73D8">
        <w:rPr>
          <w:rFonts w:cs="Arial"/>
          <w:szCs w:val="24"/>
        </w:rPr>
        <w:t>.</w:t>
      </w:r>
      <w:r w:rsidR="000019C7" w:rsidRPr="006A73D8">
        <w:t xml:space="preserve"> </w:t>
      </w:r>
      <w:r w:rsidR="000019C7" w:rsidRPr="006A73D8">
        <w:rPr>
          <w:rFonts w:cs="Arial"/>
          <w:szCs w:val="24"/>
        </w:rPr>
        <w:t>(GASB Cod. §1500, ¶.130, GASB 88 ¶5)</w:t>
      </w:r>
    </w:p>
    <w:p w14:paraId="52F633C4" w14:textId="7B1174DF" w:rsidR="00BB74F7" w:rsidRPr="006A73D8" w:rsidRDefault="00BB74F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Assets pledged as collateral for debt. (GASB Cod. §1500, ¶.130, GASB 88 ¶5)</w:t>
      </w:r>
    </w:p>
    <w:p w14:paraId="67BD89AB" w14:textId="039BAC11" w:rsidR="00BB74F7" w:rsidRPr="006A73D8" w:rsidRDefault="00D4572E"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Terms specified in debt agreements related to significant</w:t>
      </w:r>
      <w:r w:rsidR="00E91B29" w:rsidRPr="006A73D8">
        <w:t xml:space="preserve"> </w:t>
      </w:r>
      <w:r w:rsidR="00E91B29" w:rsidRPr="006A73D8">
        <w:rPr>
          <w:rFonts w:cs="Arial"/>
          <w:szCs w:val="24"/>
        </w:rPr>
        <w:t>(GASB Cod. §1500, ¶.130, GASB 88 ¶5)</w:t>
      </w:r>
      <w:r w:rsidR="00017BA9" w:rsidRPr="006A73D8">
        <w:rPr>
          <w:rFonts w:cs="Arial"/>
          <w:szCs w:val="24"/>
        </w:rPr>
        <w:t>:</w:t>
      </w:r>
    </w:p>
    <w:p w14:paraId="12B175EC" w14:textId="75AAC183" w:rsidR="00E91B29"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Events of default with finance-related consequences.</w:t>
      </w:r>
    </w:p>
    <w:p w14:paraId="32CEB367" w14:textId="0083D248"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Termination events with finance-related consequences.</w:t>
      </w:r>
    </w:p>
    <w:p w14:paraId="5C26D139" w14:textId="3569506D" w:rsidR="00303FA0" w:rsidRPr="006A73D8" w:rsidRDefault="00303FA0" w:rsidP="007E6A60">
      <w:pPr>
        <w:pStyle w:val="BodyTextIndent2"/>
        <w:numPr>
          <w:ilvl w:val="2"/>
          <w:numId w:val="20"/>
        </w:numPr>
        <w:tabs>
          <w:tab w:val="left" w:pos="-6390"/>
          <w:tab w:val="left" w:pos="-6300"/>
        </w:tabs>
        <w:spacing w:after="120"/>
        <w:jc w:val="left"/>
        <w:outlineLvl w:val="1"/>
        <w:rPr>
          <w:rFonts w:cs="Arial"/>
          <w:szCs w:val="24"/>
        </w:rPr>
      </w:pPr>
      <w:r w:rsidRPr="006A73D8">
        <w:rPr>
          <w:rFonts w:cs="Arial"/>
          <w:szCs w:val="24"/>
        </w:rPr>
        <w:t>Subjective acceleration clauses.</w:t>
      </w:r>
    </w:p>
    <w:p w14:paraId="700D6347" w14:textId="563C5667" w:rsidR="00851467" w:rsidRPr="006A73D8" w:rsidRDefault="00851467"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Claims and judgments</w:t>
      </w:r>
      <w:r w:rsidR="00C61243" w:rsidRPr="006A73D8">
        <w:rPr>
          <w:rFonts w:cs="Arial"/>
          <w:szCs w:val="24"/>
        </w:rPr>
        <w:t>.</w:t>
      </w:r>
      <w:r w:rsidRPr="006A73D8">
        <w:rPr>
          <w:rFonts w:cs="Arial"/>
          <w:szCs w:val="24"/>
        </w:rPr>
        <w:t xml:space="preserve"> (GASB Cod. §C50)</w:t>
      </w:r>
    </w:p>
    <w:p w14:paraId="63CB8C5A" w14:textId="11BD48C0" w:rsidR="00F77A23" w:rsidRPr="006A73D8" w:rsidRDefault="00F77A23"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lastRenderedPageBreak/>
        <w:t>Pollution remediation obligations</w:t>
      </w:r>
      <w:r w:rsidR="00A21A75" w:rsidRPr="006A73D8">
        <w:rPr>
          <w:rFonts w:cs="Arial"/>
          <w:szCs w:val="24"/>
        </w:rPr>
        <w:t>.</w:t>
      </w:r>
      <w:r w:rsidRPr="006A73D8">
        <w:rPr>
          <w:rFonts w:cs="Arial"/>
          <w:szCs w:val="24"/>
        </w:rPr>
        <w:t xml:space="preserve"> (GASB Cod. §P40).</w:t>
      </w:r>
    </w:p>
    <w:p w14:paraId="259CB708" w14:textId="120E3FEB" w:rsidR="00775D48" w:rsidRPr="006A73D8" w:rsidRDefault="00775D48" w:rsidP="007E6A60">
      <w:pPr>
        <w:pStyle w:val="BodyTextIndent2"/>
        <w:numPr>
          <w:ilvl w:val="1"/>
          <w:numId w:val="20"/>
        </w:numPr>
        <w:tabs>
          <w:tab w:val="left" w:pos="-6390"/>
          <w:tab w:val="left" w:pos="-6300"/>
        </w:tabs>
        <w:spacing w:after="120"/>
        <w:jc w:val="left"/>
        <w:outlineLvl w:val="1"/>
        <w:rPr>
          <w:rFonts w:cs="Arial"/>
          <w:szCs w:val="24"/>
        </w:rPr>
      </w:pPr>
      <w:r w:rsidRPr="006A73D8">
        <w:rPr>
          <w:rFonts w:cs="Arial"/>
          <w:szCs w:val="24"/>
        </w:rPr>
        <w:t>Asset retirement obligations. (GASB Cod. §A10)</w:t>
      </w:r>
    </w:p>
    <w:p w14:paraId="700D6348" w14:textId="414EEF24" w:rsidR="00481AFF" w:rsidRPr="00D2583B" w:rsidRDefault="00481AFF"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Fund</w:t>
      </w:r>
      <w:r w:rsidR="00161E69">
        <w:rPr>
          <w:rFonts w:cs="Arial"/>
          <w:szCs w:val="24"/>
        </w:rPr>
        <w:t>-</w:t>
      </w:r>
      <w:r w:rsidRPr="00D2583B">
        <w:rPr>
          <w:rFonts w:cs="Arial"/>
          <w:szCs w:val="24"/>
        </w:rPr>
        <w:t>balance reporting</w:t>
      </w:r>
      <w:r w:rsidR="00017BA9">
        <w:rPr>
          <w:rFonts w:cs="Arial"/>
          <w:szCs w:val="24"/>
        </w:rPr>
        <w:t>:</w:t>
      </w:r>
      <w:r w:rsidR="00B166F0" w:rsidRPr="00D2583B">
        <w:rPr>
          <w:rFonts w:cs="Arial"/>
          <w:szCs w:val="24"/>
        </w:rPr>
        <w:t xml:space="preserve"> </w:t>
      </w:r>
    </w:p>
    <w:p w14:paraId="700D6349" w14:textId="68FD7232" w:rsidR="00481AFF" w:rsidRPr="00D2583B" w:rsidRDefault="00EC5D70"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Disclose s</w:t>
      </w:r>
      <w:r w:rsidR="009E1B3A" w:rsidRPr="00D2583B">
        <w:rPr>
          <w:rFonts w:cs="Arial"/>
          <w:szCs w:val="24"/>
        </w:rPr>
        <w:t>pecific purpose d</w:t>
      </w:r>
      <w:r w:rsidR="00481AFF" w:rsidRPr="00D2583B">
        <w:rPr>
          <w:rFonts w:cs="Arial"/>
          <w:szCs w:val="24"/>
        </w:rPr>
        <w:t xml:space="preserve">etail </w:t>
      </w:r>
      <w:r w:rsidR="00B166F0" w:rsidRPr="00D2583B">
        <w:rPr>
          <w:rFonts w:cs="Arial"/>
          <w:szCs w:val="24"/>
        </w:rPr>
        <w:t xml:space="preserve">when </w:t>
      </w:r>
      <w:r w:rsidR="00481AFF" w:rsidRPr="00D2583B">
        <w:rPr>
          <w:rFonts w:cs="Arial"/>
          <w:szCs w:val="24"/>
        </w:rPr>
        <w:t>fund</w:t>
      </w:r>
      <w:r w:rsidR="00161E69">
        <w:rPr>
          <w:rFonts w:cs="Arial"/>
          <w:szCs w:val="24"/>
        </w:rPr>
        <w:t>-</w:t>
      </w:r>
      <w:r w:rsidR="00481AFF" w:rsidRPr="00D2583B">
        <w:rPr>
          <w:rFonts w:cs="Arial"/>
          <w:szCs w:val="24"/>
        </w:rPr>
        <w:t xml:space="preserve">balance classifications of the governmental funds </w:t>
      </w:r>
      <w:r w:rsidR="009E1B3A" w:rsidRPr="00D2583B">
        <w:rPr>
          <w:rFonts w:cs="Arial"/>
          <w:szCs w:val="24"/>
        </w:rPr>
        <w:t xml:space="preserve">are </w:t>
      </w:r>
      <w:r w:rsidR="00481AFF" w:rsidRPr="00D2583B">
        <w:rPr>
          <w:rFonts w:cs="Arial"/>
          <w:szCs w:val="24"/>
        </w:rPr>
        <w:t xml:space="preserve">displayed in the aggregate </w:t>
      </w:r>
      <w:r w:rsidR="009E1B3A" w:rsidRPr="00D2583B">
        <w:rPr>
          <w:rFonts w:cs="Arial"/>
          <w:szCs w:val="24"/>
        </w:rPr>
        <w:t>on the face of the financial statements</w:t>
      </w:r>
      <w:r w:rsidR="00013D3B">
        <w:rPr>
          <w:rFonts w:cs="Arial"/>
          <w:szCs w:val="24"/>
        </w:rPr>
        <w:t>.</w:t>
      </w:r>
      <w:r w:rsidR="009E1B3A" w:rsidRPr="00D2583B">
        <w:rPr>
          <w:rFonts w:cs="Arial"/>
          <w:szCs w:val="24"/>
        </w:rPr>
        <w:t xml:space="preserve"> </w:t>
      </w:r>
      <w:r w:rsidR="00481AFF" w:rsidRPr="00D2583B">
        <w:rPr>
          <w:rFonts w:cs="Arial"/>
          <w:szCs w:val="24"/>
        </w:rPr>
        <w:t xml:space="preserve">(GASB 54, ¶25) </w:t>
      </w:r>
    </w:p>
    <w:p w14:paraId="700D634A" w14:textId="5E12D436" w:rsidR="00481AFF" w:rsidRPr="00D2583B" w:rsidRDefault="009E1B3A"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District policy, if any</w:t>
      </w:r>
      <w:proofErr w:type="gramStart"/>
      <w:r w:rsidRPr="00D2583B">
        <w:rPr>
          <w:rFonts w:cs="Arial"/>
          <w:szCs w:val="24"/>
        </w:rPr>
        <w:t>, that</w:t>
      </w:r>
      <w:proofErr w:type="gramEnd"/>
      <w:r w:rsidRPr="00D2583B">
        <w:rPr>
          <w:rFonts w:cs="Arial"/>
          <w:szCs w:val="24"/>
        </w:rPr>
        <w:t xml:space="preserve"> sets forth the minimum fund</w:t>
      </w:r>
      <w:r w:rsidR="00161E69">
        <w:rPr>
          <w:rFonts w:cs="Arial"/>
          <w:szCs w:val="24"/>
        </w:rPr>
        <w:t>-</w:t>
      </w:r>
      <w:r w:rsidRPr="00D2583B">
        <w:rPr>
          <w:rFonts w:cs="Arial"/>
          <w:szCs w:val="24"/>
        </w:rPr>
        <w:t>balance amounts</w:t>
      </w:r>
      <w:r w:rsidR="00013D3B">
        <w:rPr>
          <w:rFonts w:cs="Arial"/>
          <w:szCs w:val="24"/>
        </w:rPr>
        <w:t>.</w:t>
      </w:r>
      <w:r w:rsidRPr="00D2583B">
        <w:rPr>
          <w:rFonts w:cs="Arial"/>
          <w:szCs w:val="24"/>
        </w:rPr>
        <w:t xml:space="preserve"> </w:t>
      </w:r>
      <w:r w:rsidR="00481AFF" w:rsidRPr="00D2583B">
        <w:rPr>
          <w:rFonts w:cs="Arial"/>
          <w:szCs w:val="24"/>
        </w:rPr>
        <w:t>(GASB 54, ¶27)</w:t>
      </w:r>
    </w:p>
    <w:p w14:paraId="5B6BE28E" w14:textId="155D2CF6" w:rsidR="00013D3B" w:rsidRDefault="00013D3B" w:rsidP="007E6A60">
      <w:pPr>
        <w:pStyle w:val="BodyTextIndent2"/>
        <w:numPr>
          <w:ilvl w:val="0"/>
          <w:numId w:val="20"/>
        </w:numPr>
        <w:tabs>
          <w:tab w:val="left" w:pos="-6390"/>
          <w:tab w:val="left" w:pos="-6300"/>
        </w:tabs>
        <w:spacing w:after="120"/>
        <w:jc w:val="left"/>
        <w:outlineLvl w:val="1"/>
        <w:rPr>
          <w:rFonts w:cs="Arial"/>
          <w:szCs w:val="24"/>
        </w:rPr>
      </w:pPr>
      <w:r>
        <w:rPr>
          <w:rFonts w:cs="Arial"/>
          <w:szCs w:val="24"/>
        </w:rPr>
        <w:t>Required reconciliations to the government-wide statements</w:t>
      </w:r>
      <w:r w:rsidR="00921B1B">
        <w:rPr>
          <w:rFonts w:cs="Arial"/>
          <w:szCs w:val="24"/>
        </w:rPr>
        <w:t>:</w:t>
      </w:r>
    </w:p>
    <w:p w14:paraId="700D634D" w14:textId="72C67633" w:rsidR="00B918F2" w:rsidRPr="00D2583B" w:rsidRDefault="00B918F2" w:rsidP="007E6A60">
      <w:pPr>
        <w:pStyle w:val="BodyTextIndent2"/>
        <w:numPr>
          <w:ilvl w:val="1"/>
          <w:numId w:val="20"/>
        </w:numPr>
        <w:tabs>
          <w:tab w:val="left" w:pos="-6390"/>
          <w:tab w:val="left" w:pos="-6300"/>
        </w:tabs>
        <w:spacing w:after="120"/>
        <w:jc w:val="left"/>
        <w:outlineLvl w:val="1"/>
        <w:rPr>
          <w:rFonts w:cs="Arial"/>
          <w:szCs w:val="24"/>
        </w:rPr>
      </w:pPr>
      <w:r w:rsidRPr="00D2583B">
        <w:rPr>
          <w:rFonts w:cs="Arial"/>
          <w:szCs w:val="24"/>
        </w:rPr>
        <w:t xml:space="preserve">Provide details when aggregated information presented in the reconciliations of the government-wide financial statements to the fund </w:t>
      </w:r>
      <w:r w:rsidR="00316008" w:rsidRPr="00D2583B">
        <w:rPr>
          <w:rFonts w:cs="Arial"/>
          <w:szCs w:val="24"/>
        </w:rPr>
        <w:t xml:space="preserve">financial </w:t>
      </w:r>
      <w:r w:rsidRPr="00D2583B">
        <w:rPr>
          <w:rFonts w:cs="Arial"/>
          <w:szCs w:val="24"/>
        </w:rPr>
        <w:t>statements obscures the nature of the individual elements of a particular reconciling item</w:t>
      </w:r>
      <w:r w:rsidR="00A70096">
        <w:rPr>
          <w:rFonts w:cs="Arial"/>
          <w:szCs w:val="24"/>
        </w:rPr>
        <w:t>.</w:t>
      </w:r>
      <w:r w:rsidRPr="00D2583B">
        <w:rPr>
          <w:rFonts w:cs="Arial"/>
          <w:szCs w:val="24"/>
        </w:rPr>
        <w:t xml:space="preserve"> (GASB 34, ¶77)</w:t>
      </w:r>
    </w:p>
    <w:p w14:paraId="700D634E" w14:textId="311673D3" w:rsidR="00B918F2" w:rsidRPr="00D2583B" w:rsidRDefault="00B918F2" w:rsidP="007E6A60">
      <w:pPr>
        <w:pStyle w:val="BodyTextIndent2"/>
        <w:numPr>
          <w:ilvl w:val="0"/>
          <w:numId w:val="20"/>
        </w:numPr>
        <w:tabs>
          <w:tab w:val="left" w:pos="-6390"/>
          <w:tab w:val="left" w:pos="-6300"/>
        </w:tabs>
        <w:spacing w:after="120"/>
        <w:jc w:val="left"/>
        <w:outlineLvl w:val="0"/>
        <w:rPr>
          <w:rFonts w:cs="Arial"/>
          <w:szCs w:val="24"/>
        </w:rPr>
      </w:pPr>
      <w:r w:rsidRPr="00D2583B">
        <w:rPr>
          <w:rFonts w:cs="Arial"/>
          <w:szCs w:val="24"/>
        </w:rPr>
        <w:t xml:space="preserve">Net </w:t>
      </w:r>
      <w:r w:rsidR="00EC62F6" w:rsidRPr="00D2583B">
        <w:rPr>
          <w:rFonts w:cs="Arial"/>
          <w:szCs w:val="24"/>
        </w:rPr>
        <w:t>position</w:t>
      </w:r>
      <w:r w:rsidRPr="00D2583B">
        <w:rPr>
          <w:rFonts w:cs="Arial"/>
          <w:szCs w:val="24"/>
        </w:rPr>
        <w:t xml:space="preserve"> restricted by enabling legislation—disclose the amount of net </w:t>
      </w:r>
      <w:r w:rsidR="00EC62F6" w:rsidRPr="00D2583B">
        <w:rPr>
          <w:rFonts w:cs="Arial"/>
          <w:szCs w:val="24"/>
        </w:rPr>
        <w:t>position</w:t>
      </w:r>
      <w:r w:rsidRPr="00D2583B">
        <w:rPr>
          <w:rFonts w:cs="Arial"/>
          <w:szCs w:val="24"/>
        </w:rPr>
        <w:t xml:space="preserve"> at year-end restricted by enabling legislation</w:t>
      </w:r>
      <w:r w:rsidR="00161E69">
        <w:rPr>
          <w:rFonts w:cs="Arial"/>
          <w:szCs w:val="24"/>
        </w:rPr>
        <w:t>.</w:t>
      </w:r>
      <w:r w:rsidRPr="00D2583B">
        <w:rPr>
          <w:rFonts w:cs="Arial"/>
          <w:szCs w:val="24"/>
        </w:rPr>
        <w:t xml:space="preserve"> (GASB 46, ¶6)</w:t>
      </w:r>
      <w:r w:rsidR="00916F6F" w:rsidRPr="00D2583B">
        <w:rPr>
          <w:rFonts w:cs="Arial"/>
          <w:szCs w:val="24"/>
        </w:rPr>
        <w:t xml:space="preserve"> </w:t>
      </w:r>
    </w:p>
    <w:p w14:paraId="700D6355" w14:textId="77777777" w:rsidR="00851467" w:rsidRPr="000B3B55" w:rsidRDefault="00851467" w:rsidP="007E6A60">
      <w:pPr>
        <w:pStyle w:val="Heading1"/>
        <w:jc w:val="left"/>
      </w:pPr>
      <w:r w:rsidRPr="000B3B55">
        <w:t>Other information</w:t>
      </w:r>
    </w:p>
    <w:p w14:paraId="700D6356" w14:textId="5174FCB8" w:rsidR="00851467" w:rsidRPr="00980621" w:rsidRDefault="0085146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Pension plan obligations (</w:t>
      </w:r>
      <w:r w:rsidR="00C72DF1" w:rsidRPr="00B43FA3">
        <w:rPr>
          <w:rFonts w:cs="Arial"/>
          <w:szCs w:val="24"/>
        </w:rPr>
        <w:t xml:space="preserve">GASB 68 and </w:t>
      </w:r>
      <w:r w:rsidRPr="00B43FA3">
        <w:rPr>
          <w:rFonts w:cs="Arial"/>
          <w:szCs w:val="24"/>
        </w:rPr>
        <w:t xml:space="preserve">GASB Cod. </w:t>
      </w:r>
      <w:r w:rsidR="000F070F" w:rsidRPr="00B43FA3">
        <w:rPr>
          <w:rFonts w:cs="Arial"/>
          <w:szCs w:val="24"/>
        </w:rPr>
        <w:t>§</w:t>
      </w:r>
      <w:r w:rsidRPr="00B43FA3">
        <w:rPr>
          <w:rFonts w:cs="Arial"/>
          <w:szCs w:val="24"/>
        </w:rPr>
        <w:t>§P20</w:t>
      </w:r>
      <w:r w:rsidR="000F070F" w:rsidRPr="00B43FA3">
        <w:rPr>
          <w:rFonts w:cs="Arial"/>
          <w:szCs w:val="24"/>
        </w:rPr>
        <w:t>, Pe5, Pe6</w:t>
      </w:r>
      <w:r w:rsidR="002846B6" w:rsidRPr="00B43FA3">
        <w:rPr>
          <w:rFonts w:cs="Arial"/>
          <w:szCs w:val="24"/>
        </w:rPr>
        <w:t>, Pe7, and Pe8</w:t>
      </w:r>
      <w:r w:rsidRPr="00B43FA3">
        <w:rPr>
          <w:rFonts w:cs="Arial"/>
          <w:szCs w:val="24"/>
        </w:rPr>
        <w:t>)</w:t>
      </w:r>
      <w:r w:rsidR="00EC4663">
        <w:rPr>
          <w:rFonts w:cs="Arial"/>
          <w:szCs w:val="24"/>
        </w:rPr>
        <w:t xml:space="preserve">. </w:t>
      </w:r>
      <w:r w:rsidR="00EC4663" w:rsidRPr="00980621">
        <w:rPr>
          <w:rFonts w:cs="Arial"/>
          <w:szCs w:val="24"/>
        </w:rPr>
        <w:t xml:space="preserve">If the District makes </w:t>
      </w:r>
      <w:r w:rsidR="00EC4663" w:rsidRPr="00980621">
        <w:rPr>
          <w:rFonts w:cs="Arial"/>
          <w:i/>
          <w:iCs/>
          <w:szCs w:val="24"/>
          <w:u w:val="single"/>
        </w:rPr>
        <w:t>employer</w:t>
      </w:r>
      <w:r w:rsidR="00EC4663" w:rsidRPr="00980621">
        <w:rPr>
          <w:rFonts w:cs="Arial"/>
          <w:szCs w:val="24"/>
        </w:rPr>
        <w:t xml:space="preserve"> contributions to a 457 plan that meets the definition of a pension plan, the </w:t>
      </w:r>
      <w:proofErr w:type="gramStart"/>
      <w:r w:rsidR="00EC4663" w:rsidRPr="00980621">
        <w:rPr>
          <w:rFonts w:cs="Arial"/>
          <w:szCs w:val="24"/>
        </w:rPr>
        <w:t>District</w:t>
      </w:r>
      <w:proofErr w:type="gramEnd"/>
      <w:r w:rsidR="00EC4663" w:rsidRPr="00980621">
        <w:rPr>
          <w:rFonts w:cs="Arial"/>
          <w:szCs w:val="24"/>
        </w:rPr>
        <w:t xml:space="preserve"> should follow the accounting and disclosure requirements of Statement No. 68 or 73, as applicable. (GASB 97)</w:t>
      </w:r>
    </w:p>
    <w:p w14:paraId="700D6357" w14:textId="0132AAD9" w:rsidR="00851467" w:rsidRPr="00F45181" w:rsidRDefault="00851467" w:rsidP="007E6A60">
      <w:pPr>
        <w:pStyle w:val="BodyTextIndent2"/>
        <w:numPr>
          <w:ilvl w:val="0"/>
          <w:numId w:val="17"/>
        </w:numPr>
        <w:tabs>
          <w:tab w:val="left" w:pos="-6390"/>
          <w:tab w:val="left" w:pos="-6300"/>
        </w:tabs>
        <w:spacing w:after="120"/>
        <w:jc w:val="left"/>
        <w:outlineLvl w:val="0"/>
        <w:rPr>
          <w:rFonts w:cs="Arial"/>
          <w:szCs w:val="24"/>
        </w:rPr>
      </w:pPr>
      <w:r w:rsidRPr="00F45181">
        <w:rPr>
          <w:rFonts w:cs="Arial"/>
          <w:szCs w:val="24"/>
        </w:rPr>
        <w:t>Other post-employment benefits</w:t>
      </w:r>
      <w:r w:rsidR="00A97462" w:rsidRPr="00F45181">
        <w:rPr>
          <w:rFonts w:cs="Arial"/>
          <w:szCs w:val="24"/>
        </w:rPr>
        <w:t xml:space="preserve"> (OPEB)</w:t>
      </w:r>
      <w:r w:rsidR="00161E69" w:rsidRPr="00F45181">
        <w:rPr>
          <w:rFonts w:cs="Arial"/>
          <w:szCs w:val="24"/>
        </w:rPr>
        <w:t>.</w:t>
      </w:r>
      <w:r w:rsidRPr="00F45181">
        <w:rPr>
          <w:rFonts w:cs="Arial"/>
          <w:szCs w:val="24"/>
        </w:rPr>
        <w:t xml:space="preserve"> (GASB Cod. </w:t>
      </w:r>
      <w:r w:rsidR="00A97462" w:rsidRPr="00F45181">
        <w:rPr>
          <w:rFonts w:cs="Arial"/>
          <w:szCs w:val="24"/>
        </w:rPr>
        <w:t>§P50 and GASB 75</w:t>
      </w:r>
      <w:r w:rsidR="00485FD1" w:rsidRPr="00F45181">
        <w:rPr>
          <w:rFonts w:cs="Arial"/>
          <w:szCs w:val="24"/>
        </w:rPr>
        <w:t xml:space="preserve"> and 85</w:t>
      </w:r>
      <w:r w:rsidRPr="00F45181">
        <w:rPr>
          <w:rFonts w:cs="Arial"/>
          <w:szCs w:val="24"/>
        </w:rPr>
        <w:t>)</w:t>
      </w:r>
    </w:p>
    <w:p w14:paraId="2ABA8D77" w14:textId="79BB37A7" w:rsidR="00013D3B" w:rsidRPr="00A97462" w:rsidRDefault="00013D3B" w:rsidP="007E6A60">
      <w:pPr>
        <w:pStyle w:val="BodyTextIndent2"/>
        <w:numPr>
          <w:ilvl w:val="0"/>
          <w:numId w:val="17"/>
        </w:numPr>
        <w:tabs>
          <w:tab w:val="left" w:pos="-6390"/>
          <w:tab w:val="left" w:pos="-6300"/>
        </w:tabs>
        <w:spacing w:after="120"/>
        <w:jc w:val="left"/>
        <w:outlineLvl w:val="0"/>
        <w:rPr>
          <w:rFonts w:cs="Arial"/>
          <w:szCs w:val="24"/>
        </w:rPr>
      </w:pPr>
      <w:r w:rsidRPr="00A97462">
        <w:rPr>
          <w:rFonts w:cs="Arial"/>
          <w:szCs w:val="24"/>
        </w:rPr>
        <w:t>Tax abatements</w:t>
      </w:r>
      <w:r w:rsidR="00810AA5">
        <w:rPr>
          <w:rFonts w:cs="Arial"/>
          <w:szCs w:val="24"/>
        </w:rPr>
        <w:t>.</w:t>
      </w:r>
      <w:r w:rsidRPr="00A97462">
        <w:rPr>
          <w:rFonts w:cs="Arial"/>
          <w:szCs w:val="24"/>
        </w:rPr>
        <w:t xml:space="preserve"> (GASB Cod. §T10 and GASB 77)</w:t>
      </w:r>
    </w:p>
    <w:p w14:paraId="5A9DBE1C" w14:textId="7554D962" w:rsidR="00013D3B" w:rsidRPr="00A97462" w:rsidRDefault="001069CE"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Distinguish</w:t>
      </w:r>
      <w:r w:rsidR="00013D3B" w:rsidRPr="00A97462">
        <w:rPr>
          <w:rFonts w:cs="Arial"/>
          <w:szCs w:val="24"/>
        </w:rPr>
        <w:t xml:space="preserve"> between tax abatements resulting from (1) agreements that are entered into by the reporting government and (2) agreements that are entered into by other </w:t>
      </w:r>
      <w:r w:rsidRPr="00A97462">
        <w:rPr>
          <w:rFonts w:cs="Arial"/>
          <w:szCs w:val="24"/>
        </w:rPr>
        <w:t>governments</w:t>
      </w:r>
      <w:r w:rsidR="00013D3B" w:rsidRPr="00A97462">
        <w:rPr>
          <w:rFonts w:cs="Arial"/>
          <w:szCs w:val="24"/>
        </w:rPr>
        <w:t xml:space="preserve"> that reduce the reporting government's tax revenues.</w:t>
      </w:r>
    </w:p>
    <w:p w14:paraId="7F2D84FC" w14:textId="6D4E1B14"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the reporting government, disclose the tax being abated, the authority under which the tax is being abated, and the gross dollar amount, on an accrual basis, by which the government’s tax revenues were reduced during the reporting period </w:t>
      </w:r>
      <w:r w:rsidR="001069CE" w:rsidRPr="00A97462">
        <w:rPr>
          <w:rFonts w:cs="Arial"/>
          <w:szCs w:val="24"/>
        </w:rPr>
        <w:t>because of</w:t>
      </w:r>
      <w:r w:rsidRPr="00A97462">
        <w:rPr>
          <w:rFonts w:cs="Arial"/>
          <w:szCs w:val="24"/>
        </w:rPr>
        <w:t xml:space="preserve"> </w:t>
      </w:r>
      <w:r w:rsidR="001069CE" w:rsidRPr="00A97462">
        <w:rPr>
          <w:rFonts w:cs="Arial"/>
          <w:szCs w:val="24"/>
        </w:rPr>
        <w:t xml:space="preserve">the </w:t>
      </w:r>
      <w:r w:rsidRPr="00A97462">
        <w:rPr>
          <w:rFonts w:cs="Arial"/>
          <w:szCs w:val="24"/>
        </w:rPr>
        <w:t>tax abatement agreements.</w:t>
      </w:r>
    </w:p>
    <w:p w14:paraId="24118F9E" w14:textId="3C06BC1F" w:rsidR="00E71347" w:rsidRPr="00A97462" w:rsidRDefault="00E71347" w:rsidP="007E6A60">
      <w:pPr>
        <w:pStyle w:val="BodyTextIndent2"/>
        <w:numPr>
          <w:ilvl w:val="1"/>
          <w:numId w:val="25"/>
        </w:numPr>
        <w:tabs>
          <w:tab w:val="left" w:pos="-6390"/>
          <w:tab w:val="left" w:pos="-6300"/>
        </w:tabs>
        <w:spacing w:after="120"/>
        <w:jc w:val="left"/>
        <w:outlineLvl w:val="0"/>
        <w:rPr>
          <w:rFonts w:cs="Arial"/>
          <w:szCs w:val="24"/>
        </w:rPr>
      </w:pPr>
      <w:r w:rsidRPr="00A97462">
        <w:rPr>
          <w:rFonts w:cs="Arial"/>
          <w:szCs w:val="24"/>
        </w:rPr>
        <w:t xml:space="preserve">For tax abatement agreements </w:t>
      </w:r>
      <w:proofErr w:type="gramStart"/>
      <w:r w:rsidRPr="00A97462">
        <w:rPr>
          <w:rFonts w:cs="Arial"/>
          <w:szCs w:val="24"/>
        </w:rPr>
        <w:t>entered into</w:t>
      </w:r>
      <w:proofErr w:type="gramEnd"/>
      <w:r w:rsidRPr="00A97462">
        <w:rPr>
          <w:rFonts w:cs="Arial"/>
          <w:szCs w:val="24"/>
        </w:rPr>
        <w:t xml:space="preserve"> by other governments and that reduce the reporting government's tax revenues</w:t>
      </w:r>
      <w:r w:rsidR="00A03DAC" w:rsidRPr="00A97462">
        <w:rPr>
          <w:rFonts w:cs="Arial"/>
          <w:szCs w:val="24"/>
        </w:rPr>
        <w:t>,</w:t>
      </w:r>
      <w:r w:rsidRPr="00A97462">
        <w:rPr>
          <w:rFonts w:cs="Arial"/>
          <w:szCs w:val="24"/>
        </w:rPr>
        <w:t xml:space="preserve"> disclose the names of the governments that entered into the agreements, the specific taxes being abated, and the gross dollar amount, on an accrual basis, by which the reporting government’s tax revenues were reduced during the reporting period </w:t>
      </w:r>
      <w:r w:rsidR="001069CE" w:rsidRPr="00A97462">
        <w:rPr>
          <w:rFonts w:cs="Arial"/>
          <w:szCs w:val="24"/>
        </w:rPr>
        <w:t xml:space="preserve">because of the </w:t>
      </w:r>
      <w:r w:rsidRPr="00A97462">
        <w:rPr>
          <w:rFonts w:cs="Arial"/>
          <w:szCs w:val="24"/>
        </w:rPr>
        <w:t>tax abatement agreements.</w:t>
      </w:r>
    </w:p>
    <w:p w14:paraId="237B7E20" w14:textId="5C5F3D4C" w:rsidR="00E71347" w:rsidRPr="00D2583B" w:rsidRDefault="00E7134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Risk management, public entity risk pools, and other risk financing activities</w:t>
      </w:r>
      <w:r>
        <w:rPr>
          <w:rFonts w:cs="Arial"/>
          <w:szCs w:val="24"/>
        </w:rPr>
        <w:t>.</w:t>
      </w:r>
      <w:r w:rsidRPr="00D2583B">
        <w:rPr>
          <w:rFonts w:cs="Arial"/>
          <w:szCs w:val="24"/>
        </w:rPr>
        <w:t xml:space="preserve"> (GASB Cod. §§C50 and Po20)</w:t>
      </w:r>
    </w:p>
    <w:p w14:paraId="700D6358" w14:textId="2D7D5D0A" w:rsidR="002A3F0C" w:rsidRPr="00D2583B" w:rsidRDefault="002A3F0C"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lastRenderedPageBreak/>
        <w:t xml:space="preserve">Termination benefits—provide a description of the termination benefit arrangements (e.g., information about the type(s) of benefits provided, the number of employees affected, and the </w:t>
      </w:r>
      <w:proofErr w:type="gramStart"/>
      <w:r w:rsidRPr="00D2583B">
        <w:rPr>
          <w:rFonts w:cs="Arial"/>
          <w:szCs w:val="24"/>
        </w:rPr>
        <w:t>period of time</w:t>
      </w:r>
      <w:proofErr w:type="gramEnd"/>
      <w:r w:rsidRPr="00D2583B">
        <w:rPr>
          <w:rFonts w:cs="Arial"/>
          <w:szCs w:val="24"/>
        </w:rPr>
        <w:t xml:space="preserve"> over which benefits are expected to be provided)</w:t>
      </w:r>
      <w:r w:rsidR="00E71347">
        <w:rPr>
          <w:rFonts w:cs="Arial"/>
          <w:szCs w:val="24"/>
        </w:rPr>
        <w:t>.</w:t>
      </w:r>
      <w:r w:rsidRPr="00D2583B">
        <w:rPr>
          <w:rFonts w:cs="Arial"/>
          <w:szCs w:val="24"/>
        </w:rPr>
        <w:t xml:space="preserve"> (GASB 47, ¶18 and GASB Cod. §T25)</w:t>
      </w:r>
    </w:p>
    <w:p w14:paraId="700D6359" w14:textId="746CEE29"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On-behalf payments for fringe benefits and salaries</w:t>
      </w:r>
      <w:r w:rsidR="00E71347">
        <w:rPr>
          <w:rFonts w:cs="Arial"/>
          <w:szCs w:val="24"/>
        </w:rPr>
        <w:t>.</w:t>
      </w:r>
      <w:r w:rsidRPr="00D2583B">
        <w:rPr>
          <w:rFonts w:cs="Arial"/>
          <w:szCs w:val="24"/>
        </w:rPr>
        <w:t xml:space="preserve"> (GASB Cod. §</w:t>
      </w:r>
      <w:r w:rsidR="00966F15" w:rsidRPr="00D2583B">
        <w:rPr>
          <w:rFonts w:cs="Arial"/>
          <w:szCs w:val="24"/>
        </w:rPr>
        <w:t>N50</w:t>
      </w:r>
      <w:r w:rsidRPr="00D2583B">
        <w:rPr>
          <w:rFonts w:cs="Arial"/>
          <w:szCs w:val="24"/>
        </w:rPr>
        <w:t>)</w:t>
      </w:r>
    </w:p>
    <w:p w14:paraId="700D635B" w14:textId="08AAA846"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Interfund balances and transactions</w:t>
      </w:r>
      <w:r w:rsidR="00F40D2D">
        <w:rPr>
          <w:rFonts w:cs="Arial"/>
          <w:szCs w:val="24"/>
        </w:rPr>
        <w:t>:</w:t>
      </w:r>
    </w:p>
    <w:p w14:paraId="700D635C" w14:textId="557C738A"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Interfund assets and liabilities (GASB Cod. §2300</w:t>
      </w:r>
      <w:r w:rsidR="00C1348E" w:rsidRPr="00D2583B">
        <w:rPr>
          <w:rFonts w:cs="Arial"/>
          <w:szCs w:val="24"/>
        </w:rPr>
        <w:t xml:space="preserve"> and </w:t>
      </w:r>
      <w:r w:rsidRPr="00D2583B">
        <w:rPr>
          <w:rFonts w:cs="Arial"/>
          <w:szCs w:val="24"/>
        </w:rPr>
        <w:t>GASB 38</w:t>
      </w:r>
      <w:r w:rsidR="00C1348E" w:rsidRPr="00D2583B">
        <w:rPr>
          <w:rFonts w:cs="Arial"/>
          <w:szCs w:val="24"/>
        </w:rPr>
        <w:t>, ¶14</w:t>
      </w:r>
      <w:r w:rsidRPr="00D2583B">
        <w:rPr>
          <w:rFonts w:cs="Arial"/>
          <w:szCs w:val="24"/>
        </w:rPr>
        <w:t>)</w:t>
      </w:r>
      <w:r w:rsidR="00F40D2D">
        <w:rPr>
          <w:rFonts w:cs="Arial"/>
          <w:szCs w:val="24"/>
        </w:rPr>
        <w:t>:</w:t>
      </w:r>
    </w:p>
    <w:p w14:paraId="700D635D" w14:textId="6180B32F"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Identify amounts due from other funds by individual major fund, nonmajor </w:t>
      </w:r>
      <w:r w:rsidR="00AB2DF3" w:rsidRPr="00D2583B">
        <w:rPr>
          <w:rFonts w:cs="Arial"/>
          <w:szCs w:val="24"/>
        </w:rPr>
        <w:t xml:space="preserve">governmental </w:t>
      </w:r>
      <w:r w:rsidRPr="00D2583B">
        <w:rPr>
          <w:rFonts w:cs="Arial"/>
          <w:szCs w:val="24"/>
        </w:rPr>
        <w:t>funds in the aggregate,</w:t>
      </w:r>
      <w:r w:rsidR="00AB2DF3" w:rsidRPr="00D2583B">
        <w:rPr>
          <w:rFonts w:cs="Arial"/>
          <w:szCs w:val="24"/>
        </w:rPr>
        <w:t xml:space="preserve"> nonmajor</w:t>
      </w:r>
      <w:r w:rsidRPr="00D2583B">
        <w:rPr>
          <w:rFonts w:cs="Arial"/>
          <w:szCs w:val="24"/>
        </w:rPr>
        <w:t xml:space="preserve"> </w:t>
      </w:r>
      <w:r w:rsidR="00AB2DF3" w:rsidRPr="00D2583B">
        <w:rPr>
          <w:rFonts w:cs="Arial"/>
          <w:szCs w:val="24"/>
        </w:rPr>
        <w:t xml:space="preserve">enterprise funds in the aggregate, </w:t>
      </w:r>
      <w:r w:rsidRPr="00D2583B">
        <w:rPr>
          <w:rFonts w:cs="Arial"/>
          <w:szCs w:val="24"/>
        </w:rPr>
        <w:t>internal service funds in the aggregate, and fiduciary fund type</w:t>
      </w:r>
      <w:r w:rsidR="00A03DAC">
        <w:rPr>
          <w:rFonts w:cs="Arial"/>
          <w:szCs w:val="24"/>
        </w:rPr>
        <w:t>.</w:t>
      </w:r>
    </w:p>
    <w:p w14:paraId="700D635E" w14:textId="29CA2F8C" w:rsidR="00B46936"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purpose for interfund balances</w:t>
      </w:r>
      <w:r w:rsidR="00A03DAC">
        <w:rPr>
          <w:rFonts w:cs="Arial"/>
          <w:szCs w:val="24"/>
        </w:rPr>
        <w:t>.</w:t>
      </w:r>
      <w:r w:rsidRPr="00D2583B">
        <w:rPr>
          <w:rFonts w:cs="Arial"/>
          <w:szCs w:val="24"/>
        </w:rPr>
        <w:t xml:space="preserve"> </w:t>
      </w:r>
    </w:p>
    <w:p w14:paraId="700D635F" w14:textId="6EBD9447" w:rsidR="00851467" w:rsidRPr="00D2583B" w:rsidRDefault="00E71347"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Disclose i</w:t>
      </w:r>
      <w:r w:rsidR="00B46936" w:rsidRPr="00D2583B">
        <w:rPr>
          <w:rFonts w:cs="Arial"/>
          <w:szCs w:val="24"/>
        </w:rPr>
        <w:t xml:space="preserve">nterfund balances </w:t>
      </w:r>
      <w:r w:rsidR="00851467" w:rsidRPr="00D2583B">
        <w:rPr>
          <w:rFonts w:cs="Arial"/>
          <w:szCs w:val="24"/>
        </w:rPr>
        <w:t>that are not expected to be repaid within 1 year from the date of the financial statements</w:t>
      </w:r>
      <w:r>
        <w:rPr>
          <w:rFonts w:cs="Arial"/>
          <w:szCs w:val="24"/>
        </w:rPr>
        <w:t>.</w:t>
      </w:r>
    </w:p>
    <w:p w14:paraId="700D6360" w14:textId="5E9790A1" w:rsidR="00851467" w:rsidRPr="00D2583B" w:rsidRDefault="00851467" w:rsidP="007E6A60">
      <w:pPr>
        <w:pStyle w:val="BodyTextIndent2"/>
        <w:keepNext/>
        <w:numPr>
          <w:ilvl w:val="1"/>
          <w:numId w:val="17"/>
        </w:numPr>
        <w:tabs>
          <w:tab w:val="left" w:pos="-6390"/>
          <w:tab w:val="left" w:pos="-6300"/>
        </w:tabs>
        <w:spacing w:after="120"/>
        <w:jc w:val="left"/>
        <w:outlineLvl w:val="1"/>
        <w:rPr>
          <w:rFonts w:cs="Arial"/>
          <w:szCs w:val="24"/>
        </w:rPr>
      </w:pPr>
      <w:r w:rsidRPr="00D2583B">
        <w:rPr>
          <w:rFonts w:cs="Arial"/>
          <w:szCs w:val="24"/>
        </w:rPr>
        <w:t>Interfund transfers (</w:t>
      </w:r>
      <w:r w:rsidR="001853E1" w:rsidRPr="00D2583B">
        <w:rPr>
          <w:rFonts w:cs="Arial"/>
          <w:szCs w:val="24"/>
        </w:rPr>
        <w:t>GASB Cod. §2300 and G</w:t>
      </w:r>
      <w:r w:rsidRPr="00D2583B">
        <w:rPr>
          <w:rFonts w:cs="Arial"/>
          <w:szCs w:val="24"/>
        </w:rPr>
        <w:t>ASB 38</w:t>
      </w:r>
      <w:r w:rsidR="00C1348E" w:rsidRPr="00D2583B">
        <w:rPr>
          <w:rFonts w:cs="Arial"/>
          <w:szCs w:val="24"/>
        </w:rPr>
        <w:t>, ¶15</w:t>
      </w:r>
      <w:r w:rsidRPr="00D2583B">
        <w:rPr>
          <w:rFonts w:cs="Arial"/>
          <w:szCs w:val="24"/>
        </w:rPr>
        <w:t>)</w:t>
      </w:r>
      <w:r w:rsidR="00F40D2D">
        <w:rPr>
          <w:rFonts w:cs="Arial"/>
          <w:szCs w:val="24"/>
        </w:rPr>
        <w:t>:</w:t>
      </w:r>
    </w:p>
    <w:p w14:paraId="700D6361" w14:textId="3A8406E6"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Identify the amounts transferred from other funds by individual major fund, nonmajor</w:t>
      </w:r>
      <w:r w:rsidR="002D50DD" w:rsidRPr="00D2583B">
        <w:rPr>
          <w:rFonts w:cs="Arial"/>
          <w:szCs w:val="24"/>
        </w:rPr>
        <w:t xml:space="preserve"> governmental</w:t>
      </w:r>
      <w:r w:rsidRPr="00D2583B">
        <w:rPr>
          <w:rFonts w:cs="Arial"/>
          <w:szCs w:val="24"/>
        </w:rPr>
        <w:t xml:space="preserve"> funds in the aggregate, </w:t>
      </w:r>
      <w:r w:rsidR="002D50DD" w:rsidRPr="00D2583B">
        <w:rPr>
          <w:rFonts w:cs="Arial"/>
          <w:szCs w:val="24"/>
        </w:rPr>
        <w:t xml:space="preserve">nonmajor enterprise funds in the aggregate, </w:t>
      </w:r>
      <w:r w:rsidRPr="00D2583B">
        <w:rPr>
          <w:rFonts w:cs="Arial"/>
          <w:szCs w:val="24"/>
        </w:rPr>
        <w:t>internal service funds in the aggregate, and fiduciary fund type</w:t>
      </w:r>
      <w:r w:rsidR="00A03DAC">
        <w:rPr>
          <w:rFonts w:cs="Arial"/>
          <w:szCs w:val="24"/>
        </w:rPr>
        <w:t>.</w:t>
      </w:r>
    </w:p>
    <w:p w14:paraId="700D6362" w14:textId="3916DE91"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Describe the principal purposes of the government’s interfund transfers</w:t>
      </w:r>
      <w:r w:rsidR="00A03DAC">
        <w:rPr>
          <w:rFonts w:cs="Arial"/>
          <w:szCs w:val="24"/>
        </w:rPr>
        <w:t>.</w:t>
      </w:r>
    </w:p>
    <w:p w14:paraId="700D6363" w14:textId="69A95E6C" w:rsidR="00851467" w:rsidRPr="00D2583B"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and give the </w:t>
      </w:r>
      <w:proofErr w:type="gramStart"/>
      <w:r w:rsidRPr="00D2583B">
        <w:rPr>
          <w:rFonts w:cs="Arial"/>
          <w:szCs w:val="24"/>
        </w:rPr>
        <w:t>amount</w:t>
      </w:r>
      <w:proofErr w:type="gramEnd"/>
      <w:r w:rsidRPr="00D2583B">
        <w:rPr>
          <w:rFonts w:cs="Arial"/>
          <w:szCs w:val="24"/>
        </w:rPr>
        <w:t xml:space="preserve"> of significant transfers that are not expected to occur on a routine basis</w:t>
      </w:r>
      <w:r w:rsidR="00A03DAC">
        <w:rPr>
          <w:rFonts w:cs="Arial"/>
          <w:szCs w:val="24"/>
        </w:rPr>
        <w:t>.</w:t>
      </w:r>
    </w:p>
    <w:p w14:paraId="700D6364" w14:textId="3E741402" w:rsidR="00851467" w:rsidRPr="00472236" w:rsidRDefault="00851467" w:rsidP="007E6A60">
      <w:pPr>
        <w:pStyle w:val="BodyTextIndent2"/>
        <w:numPr>
          <w:ilvl w:val="2"/>
          <w:numId w:val="17"/>
        </w:numPr>
        <w:tabs>
          <w:tab w:val="left" w:pos="-6390"/>
          <w:tab w:val="left" w:pos="-6300"/>
        </w:tabs>
        <w:spacing w:after="120"/>
        <w:jc w:val="left"/>
        <w:outlineLvl w:val="2"/>
        <w:rPr>
          <w:rFonts w:cs="Arial"/>
          <w:szCs w:val="24"/>
        </w:rPr>
      </w:pPr>
      <w:r w:rsidRPr="00D2583B">
        <w:rPr>
          <w:rFonts w:cs="Arial"/>
          <w:szCs w:val="24"/>
        </w:rPr>
        <w:t xml:space="preserve">Describe the intent for and the amount of interfund transfers </w:t>
      </w:r>
      <w:r w:rsidR="00A30C3F" w:rsidRPr="00D2583B">
        <w:rPr>
          <w:rFonts w:cs="Arial"/>
          <w:szCs w:val="24"/>
        </w:rPr>
        <w:t>that were</w:t>
      </w:r>
      <w:r w:rsidRPr="00D2583B">
        <w:rPr>
          <w:rFonts w:cs="Arial"/>
          <w:szCs w:val="24"/>
        </w:rPr>
        <w:t xml:space="preserve"> </w:t>
      </w:r>
      <w:r w:rsidRPr="00472236">
        <w:rPr>
          <w:rFonts w:cs="Arial"/>
          <w:szCs w:val="24"/>
        </w:rPr>
        <w:t>inconsistent with the activities of the fund making the transfer</w:t>
      </w:r>
      <w:r w:rsidR="00E71347">
        <w:rPr>
          <w:rFonts w:cs="Arial"/>
          <w:szCs w:val="24"/>
        </w:rPr>
        <w:t>.</w:t>
      </w:r>
    </w:p>
    <w:p w14:paraId="700D6365" w14:textId="356B7F2B" w:rsidR="00851467" w:rsidRPr="00472236" w:rsidRDefault="0085146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Segment information</w:t>
      </w:r>
      <w:r w:rsidR="003109A5" w:rsidRPr="00472236">
        <w:rPr>
          <w:rFonts w:cs="Arial"/>
          <w:szCs w:val="24"/>
        </w:rPr>
        <w:t xml:space="preserve"> for enterprise funds</w:t>
      </w:r>
      <w:r w:rsidR="004701D4" w:rsidRPr="00472236">
        <w:rPr>
          <w:rFonts w:cs="Arial"/>
          <w:szCs w:val="24"/>
        </w:rPr>
        <w:t>,</w:t>
      </w:r>
      <w:r w:rsidR="004B31EA" w:rsidRPr="00472236">
        <w:rPr>
          <w:rFonts w:cs="Arial"/>
          <w:szCs w:val="24"/>
        </w:rPr>
        <w:t xml:space="preserve"> including the types of goods or services provided </w:t>
      </w:r>
      <w:r w:rsidR="004701D4" w:rsidRPr="00472236">
        <w:rPr>
          <w:rFonts w:cs="Arial"/>
          <w:szCs w:val="24"/>
        </w:rPr>
        <w:t>by each segment</w:t>
      </w:r>
      <w:r w:rsidR="00DC7352" w:rsidRPr="00472236">
        <w:rPr>
          <w:rFonts w:cs="Arial"/>
          <w:szCs w:val="24"/>
        </w:rPr>
        <w:t>,</w:t>
      </w:r>
      <w:r w:rsidR="004701D4" w:rsidRPr="00472236">
        <w:rPr>
          <w:rFonts w:cs="Arial"/>
          <w:szCs w:val="24"/>
        </w:rPr>
        <w:t xml:space="preserve"> </w:t>
      </w:r>
      <w:r w:rsidR="004B31EA" w:rsidRPr="00472236">
        <w:rPr>
          <w:rFonts w:cs="Arial"/>
          <w:szCs w:val="24"/>
        </w:rPr>
        <w:t>and condensed financial statements for each segment</w:t>
      </w:r>
      <w:r w:rsidR="00E71347">
        <w:rPr>
          <w:rFonts w:cs="Arial"/>
          <w:szCs w:val="24"/>
        </w:rPr>
        <w:t>.</w:t>
      </w:r>
      <w:r w:rsidRPr="00472236">
        <w:rPr>
          <w:rFonts w:cs="Arial"/>
          <w:szCs w:val="24"/>
        </w:rPr>
        <w:t xml:space="preserve"> (GASB Cod. §2500</w:t>
      </w:r>
      <w:r w:rsidR="006B55D6" w:rsidRPr="00472236">
        <w:rPr>
          <w:rFonts w:cs="Arial"/>
          <w:szCs w:val="24"/>
        </w:rPr>
        <w:t xml:space="preserve">, </w:t>
      </w:r>
      <w:r w:rsidRPr="00472236">
        <w:rPr>
          <w:rFonts w:cs="Arial"/>
          <w:szCs w:val="24"/>
        </w:rPr>
        <w:t>GASB 34</w:t>
      </w:r>
      <w:r w:rsidR="006B55D6" w:rsidRPr="00472236">
        <w:rPr>
          <w:rFonts w:cs="Arial"/>
          <w:szCs w:val="24"/>
        </w:rPr>
        <w:t xml:space="preserve">, ¶122, and </w:t>
      </w:r>
      <w:r w:rsidRPr="00472236">
        <w:rPr>
          <w:rFonts w:cs="Arial"/>
          <w:szCs w:val="24"/>
        </w:rPr>
        <w:t>GASB 3</w:t>
      </w:r>
      <w:r w:rsidR="00A30C3F" w:rsidRPr="00472236">
        <w:rPr>
          <w:rFonts w:cs="Arial"/>
          <w:szCs w:val="24"/>
        </w:rPr>
        <w:t>7</w:t>
      </w:r>
      <w:r w:rsidR="006B55D6" w:rsidRPr="00472236">
        <w:rPr>
          <w:rFonts w:cs="Arial"/>
          <w:szCs w:val="24"/>
        </w:rPr>
        <w:t>, ¶17</w:t>
      </w:r>
      <w:r w:rsidRPr="00472236">
        <w:rPr>
          <w:rFonts w:cs="Arial"/>
          <w:szCs w:val="24"/>
        </w:rPr>
        <w:t>)</w:t>
      </w:r>
    </w:p>
    <w:p w14:paraId="6EF18BEA" w14:textId="04377265"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Joint ventures and jointly governed organizations</w:t>
      </w:r>
      <w:r>
        <w:rPr>
          <w:rFonts w:cs="Arial"/>
          <w:szCs w:val="24"/>
        </w:rPr>
        <w:t>.</w:t>
      </w:r>
      <w:r w:rsidRPr="00472236">
        <w:rPr>
          <w:rFonts w:cs="Arial"/>
          <w:szCs w:val="24"/>
        </w:rPr>
        <w:t xml:space="preserve"> (GASB Cod. §J50)</w:t>
      </w:r>
    </w:p>
    <w:p w14:paraId="01C4BAA5" w14:textId="1D8F76F0" w:rsidR="00E71347" w:rsidRPr="00472236" w:rsidRDefault="00E7134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Related</w:t>
      </w:r>
      <w:r>
        <w:rPr>
          <w:rFonts w:cs="Arial"/>
          <w:szCs w:val="24"/>
        </w:rPr>
        <w:t>-</w:t>
      </w:r>
      <w:r w:rsidRPr="00472236">
        <w:rPr>
          <w:rFonts w:cs="Arial"/>
          <w:szCs w:val="24"/>
        </w:rPr>
        <w:t>party transactions</w:t>
      </w:r>
      <w:r>
        <w:rPr>
          <w:rFonts w:cs="Arial"/>
          <w:szCs w:val="24"/>
        </w:rPr>
        <w:t>.</w:t>
      </w:r>
      <w:r w:rsidRPr="00472236">
        <w:rPr>
          <w:rFonts w:cs="Arial"/>
          <w:szCs w:val="24"/>
        </w:rPr>
        <w:t xml:space="preserve"> (GASB Cod. §2300 and GASB 62, ¶¶54-56)</w:t>
      </w:r>
    </w:p>
    <w:p w14:paraId="676986DB" w14:textId="76991387" w:rsidR="003109A5" w:rsidRPr="00472236" w:rsidRDefault="003109A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Accountability for related organizations</w:t>
      </w:r>
      <w:r w:rsidR="00E71347">
        <w:rPr>
          <w:rFonts w:cs="Arial"/>
          <w:szCs w:val="24"/>
        </w:rPr>
        <w:t>.</w:t>
      </w:r>
      <w:r w:rsidRPr="00472236">
        <w:rPr>
          <w:rFonts w:cs="Arial"/>
          <w:szCs w:val="24"/>
        </w:rPr>
        <w:t xml:space="preserve"> (GASB Cod. §2600, ¶128)</w:t>
      </w:r>
    </w:p>
    <w:p w14:paraId="50B13797" w14:textId="1521F145" w:rsidR="00041125" w:rsidRPr="00472236" w:rsidRDefault="00041125"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Nonexchange financial guarantees</w:t>
      </w:r>
      <w:r w:rsidR="00E71347">
        <w:rPr>
          <w:rFonts w:cs="Arial"/>
          <w:szCs w:val="24"/>
        </w:rPr>
        <w:t>.</w:t>
      </w:r>
      <w:r w:rsidRPr="00472236">
        <w:rPr>
          <w:rFonts w:cs="Arial"/>
          <w:szCs w:val="24"/>
        </w:rPr>
        <w:t xml:space="preserve"> (GASB Cod. §N30, ¶</w:t>
      </w:r>
      <w:r w:rsidR="00E45961" w:rsidRPr="00472236">
        <w:rPr>
          <w:rFonts w:cs="Arial"/>
          <w:szCs w:val="24"/>
        </w:rPr>
        <w:t>¶</w:t>
      </w:r>
      <w:r w:rsidRPr="00472236">
        <w:rPr>
          <w:rFonts w:cs="Arial"/>
          <w:szCs w:val="24"/>
        </w:rPr>
        <w:t>110-113</w:t>
      </w:r>
      <w:r w:rsidR="00260845" w:rsidRPr="00472236">
        <w:rPr>
          <w:rFonts w:cs="Arial"/>
          <w:szCs w:val="24"/>
        </w:rPr>
        <w:t>)</w:t>
      </w:r>
    </w:p>
    <w:p w14:paraId="700D6368" w14:textId="3896F8E0" w:rsidR="002A3F0C" w:rsidRPr="00347889" w:rsidRDefault="002A3F0C" w:rsidP="007E6A60">
      <w:pPr>
        <w:pStyle w:val="BodyTextIndent2"/>
        <w:numPr>
          <w:ilvl w:val="0"/>
          <w:numId w:val="17"/>
        </w:numPr>
        <w:tabs>
          <w:tab w:val="left" w:pos="-6390"/>
          <w:tab w:val="left" w:pos="-6300"/>
        </w:tabs>
        <w:spacing w:after="120"/>
        <w:jc w:val="left"/>
        <w:outlineLvl w:val="0"/>
        <w:rPr>
          <w:rFonts w:cs="Arial"/>
          <w:szCs w:val="24"/>
          <w:highlight w:val="yellow"/>
        </w:rPr>
      </w:pPr>
      <w:r w:rsidRPr="00D2583B">
        <w:rPr>
          <w:rFonts w:cs="Arial"/>
          <w:szCs w:val="24"/>
        </w:rPr>
        <w:t xml:space="preserve">Construction and </w:t>
      </w:r>
      <w:r w:rsidR="007B2ABE" w:rsidRPr="00D2583B">
        <w:rPr>
          <w:rFonts w:cs="Arial"/>
          <w:szCs w:val="24"/>
        </w:rPr>
        <w:t>o</w:t>
      </w:r>
      <w:r w:rsidRPr="00D2583B">
        <w:rPr>
          <w:rFonts w:cs="Arial"/>
          <w:szCs w:val="24"/>
        </w:rPr>
        <w:t xml:space="preserve">ther </w:t>
      </w:r>
      <w:r w:rsidR="007B2ABE" w:rsidRPr="00D2583B">
        <w:rPr>
          <w:rFonts w:cs="Arial"/>
          <w:szCs w:val="24"/>
        </w:rPr>
        <w:t>s</w:t>
      </w:r>
      <w:r w:rsidRPr="00D2583B">
        <w:rPr>
          <w:rFonts w:cs="Arial"/>
          <w:szCs w:val="24"/>
        </w:rPr>
        <w:t xml:space="preserve">ignificant </w:t>
      </w:r>
      <w:r w:rsidR="007B2ABE" w:rsidRPr="00D2583B">
        <w:rPr>
          <w:rFonts w:cs="Arial"/>
          <w:szCs w:val="24"/>
        </w:rPr>
        <w:t>c</w:t>
      </w:r>
      <w:r w:rsidRPr="00D2583B">
        <w:rPr>
          <w:rFonts w:cs="Arial"/>
          <w:szCs w:val="24"/>
        </w:rPr>
        <w:t>ommitments (GASB Cod. §2300</w:t>
      </w:r>
      <w:r w:rsidR="0040093E" w:rsidRPr="00D2583B">
        <w:rPr>
          <w:rFonts w:cs="Arial"/>
          <w:szCs w:val="24"/>
        </w:rPr>
        <w:t xml:space="preserve"> and GAAFR,</w:t>
      </w:r>
      <w:r w:rsidR="00B738A1">
        <w:rPr>
          <w:rFonts w:cs="Arial"/>
          <w:szCs w:val="24"/>
        </w:rPr>
        <w:t xml:space="preserve"> </w:t>
      </w:r>
      <w:r w:rsidR="0040093E" w:rsidRPr="00D2583B">
        <w:rPr>
          <w:rFonts w:cs="Arial"/>
          <w:szCs w:val="24"/>
        </w:rPr>
        <w:t xml:space="preserve">p. </w:t>
      </w:r>
      <w:r w:rsidR="006256A9" w:rsidRPr="00D2583B">
        <w:rPr>
          <w:rFonts w:cs="Arial"/>
          <w:szCs w:val="24"/>
        </w:rPr>
        <w:t>372</w:t>
      </w:r>
      <w:r w:rsidRPr="00D2583B">
        <w:rPr>
          <w:rFonts w:cs="Arial"/>
          <w:szCs w:val="24"/>
        </w:rPr>
        <w:t>)</w:t>
      </w:r>
      <w:r w:rsidR="00B910D5">
        <w:rPr>
          <w:rFonts w:cs="Arial"/>
          <w:szCs w:val="24"/>
        </w:rPr>
        <w:t>.</w:t>
      </w:r>
      <w:r w:rsidRPr="00D2583B">
        <w:rPr>
          <w:rFonts w:cs="Arial"/>
          <w:szCs w:val="24"/>
        </w:rPr>
        <w:t xml:space="preserve"> Provide a description of the commitment</w:t>
      </w:r>
      <w:r w:rsidR="007430FF">
        <w:rPr>
          <w:rFonts w:cs="Arial"/>
          <w:szCs w:val="24"/>
        </w:rPr>
        <w:t>;</w:t>
      </w:r>
      <w:r w:rsidRPr="00D2583B">
        <w:rPr>
          <w:rFonts w:cs="Arial"/>
          <w:szCs w:val="24"/>
        </w:rPr>
        <w:t xml:space="preserve"> dollar amounts and basic terms of the commitment, including amounts spent to date and amounts remaining under the commitment</w:t>
      </w:r>
      <w:r w:rsidR="007430FF">
        <w:rPr>
          <w:rFonts w:cs="Arial"/>
          <w:szCs w:val="24"/>
        </w:rPr>
        <w:t>;</w:t>
      </w:r>
      <w:r w:rsidRPr="00D2583B">
        <w:rPr>
          <w:rFonts w:cs="Arial"/>
          <w:szCs w:val="24"/>
        </w:rPr>
        <w:t xml:space="preserve"> and </w:t>
      </w:r>
      <w:r w:rsidR="007430FF">
        <w:rPr>
          <w:rFonts w:cs="Arial"/>
          <w:szCs w:val="24"/>
        </w:rPr>
        <w:t xml:space="preserve">payment </w:t>
      </w:r>
      <w:r w:rsidRPr="00D2583B">
        <w:rPr>
          <w:rFonts w:cs="Arial"/>
          <w:szCs w:val="24"/>
        </w:rPr>
        <w:t>source.</w:t>
      </w:r>
      <w:r w:rsidR="009A0941" w:rsidRPr="009A0941">
        <w:t xml:space="preserve"> </w:t>
      </w:r>
      <w:r w:rsidR="009A0941" w:rsidRPr="00347889">
        <w:rPr>
          <w:rFonts w:cs="Arial"/>
          <w:szCs w:val="24"/>
        </w:rPr>
        <w:t>For leases, disclose commitments under leases before the commencement of the lease term (GASB 87, ¶ 37[g]).</w:t>
      </w:r>
      <w:r w:rsidRPr="00347889">
        <w:rPr>
          <w:rFonts w:cs="Arial"/>
          <w:szCs w:val="24"/>
        </w:rPr>
        <w:t xml:space="preserve"> </w:t>
      </w:r>
      <w:r w:rsidR="00347889" w:rsidRPr="00347889">
        <w:rPr>
          <w:rFonts w:cs="Arial"/>
          <w:szCs w:val="24"/>
          <w:highlight w:val="yellow"/>
        </w:rPr>
        <w:t>For SBITAs, disclose commitments under SBITAs before the commencement of the subscription term (GASB 96, ¶ 60[f]).</w:t>
      </w:r>
    </w:p>
    <w:p w14:paraId="700D6369" w14:textId="21F07B57"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Significant contingencies including incurred but unreported claims (GASB Cod. §§1500 and C50</w:t>
      </w:r>
      <w:r w:rsidR="00E50FBF" w:rsidRPr="00D2583B">
        <w:rPr>
          <w:rFonts w:cs="Arial"/>
          <w:szCs w:val="24"/>
        </w:rPr>
        <w:t>,</w:t>
      </w:r>
      <w:r w:rsidR="006A5A44" w:rsidRPr="00D2583B">
        <w:rPr>
          <w:rFonts w:cs="Arial"/>
          <w:szCs w:val="24"/>
        </w:rPr>
        <w:t xml:space="preserve"> and GASB 62, ¶</w:t>
      </w:r>
      <w:r w:rsidR="001C7915" w:rsidRPr="00D2583B">
        <w:rPr>
          <w:rFonts w:cs="Arial"/>
          <w:szCs w:val="24"/>
        </w:rPr>
        <w:t>¶</w:t>
      </w:r>
      <w:r w:rsidR="006A5A44" w:rsidRPr="00D2583B">
        <w:rPr>
          <w:rFonts w:cs="Arial"/>
          <w:szCs w:val="24"/>
        </w:rPr>
        <w:t>106-110</w:t>
      </w:r>
      <w:r w:rsidR="009E5B23" w:rsidRPr="00D2583B">
        <w:rPr>
          <w:rFonts w:cs="Arial"/>
          <w:szCs w:val="24"/>
        </w:rPr>
        <w:t>)</w:t>
      </w:r>
      <w:r w:rsidR="001E231A">
        <w:rPr>
          <w:rFonts w:cs="Arial"/>
          <w:szCs w:val="24"/>
        </w:rPr>
        <w:t>.</w:t>
      </w:r>
      <w:r w:rsidR="00E71347">
        <w:rPr>
          <w:rFonts w:cs="Arial"/>
          <w:szCs w:val="24"/>
        </w:rPr>
        <w:t xml:space="preserve"> For example:</w:t>
      </w:r>
    </w:p>
    <w:p w14:paraId="700D636A" w14:textId="235BAD14"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Litigation</w:t>
      </w:r>
      <w:r w:rsidR="00A03DAC">
        <w:rPr>
          <w:rFonts w:cs="Arial"/>
          <w:szCs w:val="24"/>
        </w:rPr>
        <w:t>.</w:t>
      </w:r>
    </w:p>
    <w:p w14:paraId="700D636B" w14:textId="58917566" w:rsidR="00851467" w:rsidRPr="00D2583B" w:rsidRDefault="0085146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lastRenderedPageBreak/>
        <w:t>Federally assisted programs—compliance audits</w:t>
      </w:r>
      <w:r w:rsidR="00E71347">
        <w:rPr>
          <w:rFonts w:cs="Arial"/>
          <w:szCs w:val="24"/>
        </w:rPr>
        <w:t>.</w:t>
      </w:r>
    </w:p>
    <w:p w14:paraId="700D636C" w14:textId="1B1D8C71" w:rsidR="006256A9" w:rsidRPr="00D2583B" w:rsidRDefault="006256A9"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Deferred outflows and inflows of resources</w:t>
      </w:r>
      <w:r w:rsidR="00870499">
        <w:rPr>
          <w:rFonts w:cs="Arial"/>
          <w:szCs w:val="24"/>
        </w:rPr>
        <w:t>:</w:t>
      </w:r>
    </w:p>
    <w:p w14:paraId="700D636D" w14:textId="35A969E2"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Provide details of the different types of deferred outflows and inflows when significant </w:t>
      </w:r>
      <w:r w:rsidR="005E5A10" w:rsidRPr="00D2583B">
        <w:rPr>
          <w:rFonts w:cs="Arial"/>
          <w:szCs w:val="24"/>
        </w:rPr>
        <w:t>components</w:t>
      </w:r>
      <w:r w:rsidRPr="00D2583B">
        <w:rPr>
          <w:rFonts w:cs="Arial"/>
          <w:szCs w:val="24"/>
        </w:rPr>
        <w:t xml:space="preserve"> are obscured by </w:t>
      </w:r>
      <w:r w:rsidR="005E5A10" w:rsidRPr="00D2583B">
        <w:rPr>
          <w:rFonts w:cs="Arial"/>
          <w:szCs w:val="24"/>
        </w:rPr>
        <w:t>aggregation</w:t>
      </w:r>
      <w:r w:rsidR="00A03DAC">
        <w:rPr>
          <w:rFonts w:cs="Arial"/>
          <w:szCs w:val="24"/>
        </w:rPr>
        <w:t>.</w:t>
      </w:r>
      <w:r w:rsidRPr="00D2583B">
        <w:rPr>
          <w:rFonts w:cs="Arial"/>
          <w:szCs w:val="24"/>
        </w:rPr>
        <w:t xml:space="preserve"> (GASB 63, ¶13)</w:t>
      </w:r>
    </w:p>
    <w:p w14:paraId="700D636E" w14:textId="77777777" w:rsidR="006256A9" w:rsidRPr="00D2583B" w:rsidRDefault="006256A9"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Disclose the effect on net position when the difference between a deferred outflow or inflow of resources and the balance of the related asset or liability is significant. (GASB 63, ¶14)</w:t>
      </w:r>
    </w:p>
    <w:p w14:paraId="02ABE85F" w14:textId="03AE998D" w:rsidR="00FE0B05" w:rsidRPr="00472236" w:rsidRDefault="00851467" w:rsidP="007E6A60">
      <w:pPr>
        <w:pStyle w:val="BodyTextIndent2"/>
        <w:numPr>
          <w:ilvl w:val="0"/>
          <w:numId w:val="17"/>
        </w:numPr>
        <w:tabs>
          <w:tab w:val="left" w:pos="-6390"/>
          <w:tab w:val="left" w:pos="-6300"/>
        </w:tabs>
        <w:spacing w:after="120"/>
        <w:jc w:val="left"/>
        <w:outlineLvl w:val="0"/>
        <w:rPr>
          <w:rFonts w:cs="Arial"/>
          <w:szCs w:val="24"/>
        </w:rPr>
      </w:pPr>
      <w:r w:rsidRPr="00472236">
        <w:rPr>
          <w:rFonts w:cs="Arial"/>
          <w:szCs w:val="24"/>
        </w:rPr>
        <w:t>Accounting changes</w:t>
      </w:r>
      <w:r w:rsidR="003109A5" w:rsidRPr="00472236">
        <w:rPr>
          <w:rFonts w:cs="Arial"/>
          <w:szCs w:val="24"/>
        </w:rPr>
        <w:t xml:space="preserve">, changes in estimates, changes in reporting entity, and </w:t>
      </w:r>
      <w:r w:rsidR="00FE0B05" w:rsidRPr="00472236">
        <w:rPr>
          <w:rFonts w:cs="Arial"/>
          <w:szCs w:val="24"/>
        </w:rPr>
        <w:t>misstatements (</w:t>
      </w:r>
      <w:r w:rsidR="003109A5" w:rsidRPr="00472236">
        <w:rPr>
          <w:rFonts w:cs="Arial"/>
          <w:szCs w:val="24"/>
        </w:rPr>
        <w:t>error corrections</w:t>
      </w:r>
      <w:r w:rsidR="00FE0B05" w:rsidRPr="00472236">
        <w:rPr>
          <w:rFonts w:cs="Arial"/>
          <w:szCs w:val="24"/>
        </w:rPr>
        <w:t>)</w:t>
      </w:r>
      <w:r w:rsidR="00A03DAC">
        <w:rPr>
          <w:rFonts w:cs="Arial"/>
          <w:szCs w:val="24"/>
        </w:rPr>
        <w:t>,</w:t>
      </w:r>
      <w:r w:rsidRPr="00472236">
        <w:rPr>
          <w:rFonts w:cs="Arial"/>
          <w:szCs w:val="24"/>
        </w:rPr>
        <w:t xml:space="preserve"> and the related adjustment</w:t>
      </w:r>
      <w:r w:rsidR="003109A5" w:rsidRPr="00472236">
        <w:rPr>
          <w:rFonts w:cs="Arial"/>
          <w:szCs w:val="24"/>
        </w:rPr>
        <w:t>,</w:t>
      </w:r>
      <w:r w:rsidRPr="00472236">
        <w:rPr>
          <w:rFonts w:cs="Arial"/>
          <w:szCs w:val="24"/>
        </w:rPr>
        <w:t xml:space="preserve"> if applicable</w:t>
      </w:r>
      <w:r w:rsidR="00CD65AB">
        <w:rPr>
          <w:rFonts w:cs="Arial"/>
          <w:szCs w:val="24"/>
        </w:rPr>
        <w:t>.</w:t>
      </w:r>
      <w:r w:rsidRPr="00472236">
        <w:rPr>
          <w:rFonts w:cs="Arial"/>
          <w:szCs w:val="24"/>
        </w:rPr>
        <w:t xml:space="preserve"> (AU</w:t>
      </w:r>
      <w:r w:rsidR="006256A9" w:rsidRPr="00472236">
        <w:rPr>
          <w:rFonts w:cs="Arial"/>
          <w:szCs w:val="24"/>
        </w:rPr>
        <w:t>-C</w:t>
      </w:r>
      <w:r w:rsidRPr="00472236">
        <w:rPr>
          <w:rFonts w:cs="Arial"/>
          <w:szCs w:val="24"/>
        </w:rPr>
        <w:t xml:space="preserve"> </w:t>
      </w:r>
      <w:r w:rsidR="003109A5" w:rsidRPr="00472236">
        <w:rPr>
          <w:rFonts w:cs="Arial"/>
          <w:szCs w:val="24"/>
        </w:rPr>
        <w:t>§</w:t>
      </w:r>
      <w:r w:rsidRPr="00472236">
        <w:rPr>
          <w:rFonts w:cs="Arial"/>
          <w:szCs w:val="24"/>
        </w:rPr>
        <w:t>§</w:t>
      </w:r>
      <w:r w:rsidR="006256A9" w:rsidRPr="00472236">
        <w:rPr>
          <w:rFonts w:cs="Arial"/>
          <w:szCs w:val="24"/>
        </w:rPr>
        <w:t>708</w:t>
      </w:r>
      <w:r w:rsidR="003109A5" w:rsidRPr="00472236">
        <w:rPr>
          <w:rFonts w:cs="Arial"/>
          <w:szCs w:val="24"/>
        </w:rPr>
        <w:t xml:space="preserve"> and 560</w:t>
      </w:r>
      <w:r w:rsidR="00C42402" w:rsidRPr="00472236">
        <w:rPr>
          <w:rFonts w:cs="Arial"/>
          <w:szCs w:val="24"/>
        </w:rPr>
        <w:t>,</w:t>
      </w:r>
      <w:r w:rsidR="00317F5C" w:rsidRPr="00472236">
        <w:rPr>
          <w:rFonts w:cs="Arial"/>
          <w:szCs w:val="24"/>
        </w:rPr>
        <w:t xml:space="preserve"> </w:t>
      </w:r>
      <w:r w:rsidR="002A784B" w:rsidRPr="00472236">
        <w:rPr>
          <w:rFonts w:cs="Arial"/>
          <w:szCs w:val="24"/>
        </w:rPr>
        <w:t xml:space="preserve">GASB 62, </w:t>
      </w:r>
      <w:r w:rsidR="003109A5" w:rsidRPr="00472236">
        <w:rPr>
          <w:rFonts w:cs="Arial"/>
          <w:szCs w:val="24"/>
        </w:rPr>
        <w:t>¶</w:t>
      </w:r>
      <w:r w:rsidR="00FA6242" w:rsidRPr="00472236">
        <w:rPr>
          <w:rFonts w:cs="Arial"/>
          <w:szCs w:val="24"/>
        </w:rPr>
        <w:t>¶</w:t>
      </w:r>
      <w:r w:rsidR="003109A5" w:rsidRPr="00472236">
        <w:rPr>
          <w:rFonts w:cs="Arial"/>
          <w:szCs w:val="24"/>
        </w:rPr>
        <w:t>58-78, and GAAFR p</w:t>
      </w:r>
      <w:r w:rsidR="00FE0B05" w:rsidRPr="00472236">
        <w:rPr>
          <w:rFonts w:cs="Arial"/>
          <w:szCs w:val="24"/>
        </w:rPr>
        <w:t>p</w:t>
      </w:r>
      <w:r w:rsidR="003109A5" w:rsidRPr="00472236">
        <w:rPr>
          <w:rFonts w:cs="Arial"/>
          <w:szCs w:val="24"/>
        </w:rPr>
        <w:t>.</w:t>
      </w:r>
      <w:r w:rsidR="00090DAC" w:rsidRPr="00472236">
        <w:rPr>
          <w:rFonts w:cs="Arial"/>
          <w:szCs w:val="24"/>
        </w:rPr>
        <w:t xml:space="preserve"> </w:t>
      </w:r>
      <w:r w:rsidR="003109A5" w:rsidRPr="00472236">
        <w:rPr>
          <w:rFonts w:cs="Arial"/>
          <w:szCs w:val="24"/>
        </w:rPr>
        <w:t>348</w:t>
      </w:r>
      <w:r w:rsidR="00FE0B05" w:rsidRPr="00472236">
        <w:rPr>
          <w:rFonts w:cs="Arial"/>
          <w:szCs w:val="24"/>
        </w:rPr>
        <w:t>-349</w:t>
      </w:r>
    </w:p>
    <w:p w14:paraId="50F687ED" w14:textId="56124DCA" w:rsidR="00E71347" w:rsidRPr="00B43FA3" w:rsidRDefault="00E71347" w:rsidP="007E6A60">
      <w:pPr>
        <w:pStyle w:val="BodyTextIndent2"/>
        <w:numPr>
          <w:ilvl w:val="0"/>
          <w:numId w:val="17"/>
        </w:numPr>
        <w:tabs>
          <w:tab w:val="left" w:pos="-6390"/>
          <w:tab w:val="left" w:pos="-6300"/>
        </w:tabs>
        <w:spacing w:after="120"/>
        <w:jc w:val="left"/>
        <w:outlineLvl w:val="0"/>
        <w:rPr>
          <w:rFonts w:cs="Arial"/>
          <w:szCs w:val="24"/>
        </w:rPr>
      </w:pPr>
      <w:r w:rsidRPr="00B43FA3">
        <w:rPr>
          <w:rFonts w:cs="Arial"/>
          <w:szCs w:val="24"/>
        </w:rPr>
        <w:t>Government combinations and disposals of government operations</w:t>
      </w:r>
      <w:r w:rsidR="000A2FE7">
        <w:rPr>
          <w:rFonts w:cs="Arial"/>
          <w:szCs w:val="24"/>
        </w:rPr>
        <w:t>.</w:t>
      </w:r>
      <w:r w:rsidRPr="00B43FA3">
        <w:rPr>
          <w:rFonts w:cs="Arial"/>
          <w:szCs w:val="24"/>
        </w:rPr>
        <w:t xml:space="preserve"> (GASB 69 and GASB Cod. §Co10) </w:t>
      </w:r>
    </w:p>
    <w:p w14:paraId="2632CBA3" w14:textId="77777777" w:rsidR="00550BB1" w:rsidRDefault="00570F28" w:rsidP="007E6A60">
      <w:pPr>
        <w:pStyle w:val="BodyTextIndent2"/>
        <w:numPr>
          <w:ilvl w:val="0"/>
          <w:numId w:val="17"/>
        </w:numPr>
        <w:tabs>
          <w:tab w:val="left" w:pos="-6390"/>
          <w:tab w:val="left" w:pos="-6300"/>
        </w:tabs>
        <w:spacing w:after="120"/>
        <w:jc w:val="left"/>
        <w:outlineLvl w:val="0"/>
        <w:rPr>
          <w:rFonts w:cs="Arial"/>
          <w:szCs w:val="24"/>
        </w:rPr>
      </w:pPr>
      <w:r w:rsidRPr="00570F28">
        <w:rPr>
          <w:rFonts w:cs="Arial"/>
          <w:szCs w:val="24"/>
        </w:rPr>
        <w:t>Conditions and events giving rise to substantial doubt about the government's ability to continue as a going concern. (See GASB Codification Section 2250, paragraph .120.)</w:t>
      </w:r>
    </w:p>
    <w:p w14:paraId="700D6371" w14:textId="5A3B0B71" w:rsidR="00851467" w:rsidRPr="00D2583B" w:rsidRDefault="00851467"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Significant subsequent events</w:t>
      </w:r>
      <w:r w:rsidR="000A2FE7">
        <w:rPr>
          <w:rFonts w:cs="Arial"/>
          <w:szCs w:val="24"/>
        </w:rPr>
        <w:t>.</w:t>
      </w:r>
      <w:r w:rsidRPr="00D2583B">
        <w:rPr>
          <w:rFonts w:cs="Arial"/>
          <w:szCs w:val="24"/>
        </w:rPr>
        <w:t xml:space="preserve"> (GASB Cod. §§2300 and C50)</w:t>
      </w:r>
    </w:p>
    <w:p w14:paraId="700D6372" w14:textId="093B2EAA" w:rsidR="00A674B2" w:rsidRPr="00D2583B" w:rsidRDefault="00A674B2" w:rsidP="007E6A60">
      <w:pPr>
        <w:pStyle w:val="BodyTextIndent2"/>
        <w:numPr>
          <w:ilvl w:val="0"/>
          <w:numId w:val="17"/>
        </w:numPr>
        <w:tabs>
          <w:tab w:val="left" w:pos="-6390"/>
          <w:tab w:val="left" w:pos="-6300"/>
        </w:tabs>
        <w:spacing w:after="120"/>
        <w:jc w:val="left"/>
        <w:outlineLvl w:val="0"/>
        <w:rPr>
          <w:rFonts w:cs="Arial"/>
          <w:szCs w:val="24"/>
        </w:rPr>
      </w:pPr>
      <w:r w:rsidRPr="00D2583B">
        <w:rPr>
          <w:rFonts w:cs="Arial"/>
          <w:szCs w:val="24"/>
        </w:rPr>
        <w:t>Discretely presented component unit disclosures</w:t>
      </w:r>
      <w:r w:rsidR="000A2FE7">
        <w:rPr>
          <w:rFonts w:cs="Arial"/>
          <w:szCs w:val="24"/>
        </w:rPr>
        <w:t xml:space="preserve"> </w:t>
      </w:r>
      <w:r w:rsidR="000A2FE7" w:rsidRPr="000A2FE7">
        <w:rPr>
          <w:rFonts w:cs="Arial"/>
          <w:szCs w:val="24"/>
        </w:rPr>
        <w:t>(GASB Cod. §2300, ¶.105)</w:t>
      </w:r>
      <w:r w:rsidR="00916F7E">
        <w:rPr>
          <w:rFonts w:cs="Arial"/>
          <w:szCs w:val="24"/>
        </w:rPr>
        <w:t>:</w:t>
      </w:r>
    </w:p>
    <w:p w14:paraId="700D6375" w14:textId="389AB995" w:rsidR="00A674B2" w:rsidRPr="000A2FE7" w:rsidRDefault="00A674B2"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 xml:space="preserve">Include those disclosures of the </w:t>
      </w:r>
      <w:proofErr w:type="gramStart"/>
      <w:r w:rsidRPr="000A2FE7">
        <w:rPr>
          <w:rFonts w:cs="Arial"/>
          <w:szCs w:val="24"/>
        </w:rPr>
        <w:t>discretely</w:t>
      </w:r>
      <w:proofErr w:type="gramEnd"/>
      <w:r w:rsidRPr="000A2FE7">
        <w:rPr>
          <w:rFonts w:cs="Arial"/>
          <w:szCs w:val="24"/>
        </w:rPr>
        <w:t xml:space="preserve"> presented component units that are essential to the fair presentation of the basic financial statements</w:t>
      </w:r>
      <w:r w:rsidR="009E5B23" w:rsidRPr="000A2FE7">
        <w:rPr>
          <w:rFonts w:cs="Arial"/>
          <w:szCs w:val="24"/>
        </w:rPr>
        <w:t>, including a summary of significant accounting policies</w:t>
      </w:r>
      <w:r w:rsidRPr="000A2FE7">
        <w:rPr>
          <w:rFonts w:cs="Arial"/>
          <w:szCs w:val="24"/>
        </w:rPr>
        <w:t xml:space="preserve">. Determining </w:t>
      </w:r>
      <w:r w:rsidR="00560EBE" w:rsidRPr="000A2FE7">
        <w:rPr>
          <w:rFonts w:cs="Arial"/>
          <w:szCs w:val="24"/>
        </w:rPr>
        <w:t xml:space="preserve">disclosures that are </w:t>
      </w:r>
      <w:r w:rsidRPr="000A2FE7">
        <w:rPr>
          <w:rFonts w:cs="Arial"/>
          <w:szCs w:val="24"/>
        </w:rPr>
        <w:t>essential is</w:t>
      </w:r>
      <w:r w:rsidR="000A2FE7" w:rsidRPr="000A2FE7">
        <w:rPr>
          <w:rFonts w:cs="Arial"/>
          <w:szCs w:val="24"/>
        </w:rPr>
        <w:t xml:space="preserve"> </w:t>
      </w:r>
      <w:r w:rsidRPr="000A2FE7">
        <w:rPr>
          <w:rFonts w:cs="Arial"/>
          <w:szCs w:val="24"/>
        </w:rPr>
        <w:t>a matter of professional judgment and</w:t>
      </w:r>
      <w:r w:rsidR="000A2FE7" w:rsidRPr="000A2FE7">
        <w:rPr>
          <w:rFonts w:cs="Arial"/>
          <w:szCs w:val="24"/>
        </w:rPr>
        <w:t xml:space="preserve"> </w:t>
      </w:r>
      <w:r w:rsidRPr="000A2FE7">
        <w:rPr>
          <w:rFonts w:cs="Arial"/>
          <w:szCs w:val="24"/>
        </w:rPr>
        <w:t xml:space="preserve">a consideration of </w:t>
      </w:r>
      <w:r w:rsidR="006B7138" w:rsidRPr="000A2FE7">
        <w:rPr>
          <w:rFonts w:cs="Arial"/>
          <w:szCs w:val="24"/>
        </w:rPr>
        <w:t xml:space="preserve">the nature and significance of the individual component unit’s relationship to the </w:t>
      </w:r>
      <w:proofErr w:type="gramStart"/>
      <w:r w:rsidR="006B7138" w:rsidRPr="000A2FE7">
        <w:rPr>
          <w:rFonts w:cs="Arial"/>
          <w:szCs w:val="24"/>
        </w:rPr>
        <w:t>District</w:t>
      </w:r>
      <w:proofErr w:type="gramEnd"/>
      <w:r w:rsidR="006B7138" w:rsidRPr="000A2FE7">
        <w:rPr>
          <w:rFonts w:cs="Arial"/>
          <w:szCs w:val="24"/>
        </w:rPr>
        <w:t xml:space="preserve">. </w:t>
      </w:r>
    </w:p>
    <w:p w14:paraId="700D6378" w14:textId="7F906DB0" w:rsidR="002F519E" w:rsidRPr="000A2FE7" w:rsidRDefault="002F519E" w:rsidP="007E6A60">
      <w:pPr>
        <w:pStyle w:val="BodyTextIndent2"/>
        <w:numPr>
          <w:ilvl w:val="1"/>
          <w:numId w:val="17"/>
        </w:numPr>
        <w:tabs>
          <w:tab w:val="left" w:pos="-6390"/>
          <w:tab w:val="left" w:pos="-6300"/>
        </w:tabs>
        <w:spacing w:after="120"/>
        <w:jc w:val="left"/>
        <w:outlineLvl w:val="2"/>
        <w:rPr>
          <w:rFonts w:cs="Arial"/>
          <w:szCs w:val="24"/>
        </w:rPr>
      </w:pPr>
      <w:r w:rsidRPr="000A2FE7">
        <w:rPr>
          <w:rFonts w:cs="Arial"/>
          <w:szCs w:val="24"/>
        </w:rPr>
        <w:t xml:space="preserve">Component unit’s disclosures should be segregated from disclosures relating to the </w:t>
      </w:r>
      <w:proofErr w:type="gramStart"/>
      <w:r w:rsidRPr="000A2FE7">
        <w:rPr>
          <w:rFonts w:cs="Arial"/>
          <w:szCs w:val="24"/>
        </w:rPr>
        <w:t>District</w:t>
      </w:r>
      <w:proofErr w:type="gramEnd"/>
      <w:r w:rsidRPr="000A2FE7">
        <w:rPr>
          <w:rFonts w:cs="Arial"/>
          <w:szCs w:val="24"/>
        </w:rPr>
        <w:t>. This can be accomplished by eithe</w:t>
      </w:r>
      <w:r w:rsidR="000A2FE7" w:rsidRPr="000A2FE7">
        <w:rPr>
          <w:rFonts w:cs="Arial"/>
          <w:szCs w:val="24"/>
        </w:rPr>
        <w:t xml:space="preserve">r </w:t>
      </w:r>
      <w:r w:rsidRPr="000A2FE7">
        <w:rPr>
          <w:rFonts w:cs="Arial"/>
          <w:szCs w:val="24"/>
        </w:rPr>
        <w:t xml:space="preserve">presenting component unit information after the </w:t>
      </w:r>
      <w:r w:rsidR="00300B4C" w:rsidRPr="000A2FE7">
        <w:rPr>
          <w:rFonts w:cs="Arial"/>
          <w:szCs w:val="24"/>
        </w:rPr>
        <w:t>d</w:t>
      </w:r>
      <w:r w:rsidRPr="000A2FE7">
        <w:rPr>
          <w:rFonts w:cs="Arial"/>
          <w:szCs w:val="24"/>
        </w:rPr>
        <w:t>istrict information for each relevant disclosure or</w:t>
      </w:r>
      <w:r w:rsidR="000A2FE7" w:rsidRPr="000A2FE7">
        <w:rPr>
          <w:rFonts w:cs="Arial"/>
          <w:szCs w:val="24"/>
        </w:rPr>
        <w:t xml:space="preserve"> </w:t>
      </w:r>
      <w:r w:rsidR="00E20A00" w:rsidRPr="000A2FE7">
        <w:rPr>
          <w:rFonts w:cs="Arial"/>
          <w:szCs w:val="24"/>
        </w:rPr>
        <w:t>presenting</w:t>
      </w:r>
      <w:r w:rsidRPr="000A2FE7">
        <w:rPr>
          <w:rFonts w:cs="Arial"/>
          <w:szCs w:val="24"/>
        </w:rPr>
        <w:t xml:space="preserve"> the component unit’s disclosures after the </w:t>
      </w:r>
      <w:proofErr w:type="gramStart"/>
      <w:r w:rsidRPr="000A2FE7">
        <w:rPr>
          <w:rFonts w:cs="Arial"/>
          <w:szCs w:val="24"/>
        </w:rPr>
        <w:t>District’s</w:t>
      </w:r>
      <w:proofErr w:type="gramEnd"/>
      <w:r w:rsidRPr="000A2FE7">
        <w:rPr>
          <w:rFonts w:cs="Arial"/>
          <w:szCs w:val="24"/>
        </w:rPr>
        <w:t xml:space="preserve"> disclosures. (</w:t>
      </w:r>
      <w:r w:rsidR="008377BF" w:rsidRPr="000A2FE7">
        <w:rPr>
          <w:rFonts w:cs="Arial"/>
          <w:kern w:val="2"/>
          <w:szCs w:val="24"/>
        </w:rPr>
        <w:t>GASB Implementation Guide No. 2015-1</w:t>
      </w:r>
      <w:r w:rsidRPr="000A2FE7">
        <w:rPr>
          <w:rFonts w:cs="Arial"/>
          <w:szCs w:val="24"/>
        </w:rPr>
        <w:t>, question 4.</w:t>
      </w:r>
      <w:r w:rsidR="00797502" w:rsidRPr="000A2FE7">
        <w:rPr>
          <w:rFonts w:cs="Arial"/>
          <w:szCs w:val="24"/>
        </w:rPr>
        <w:t>39.6</w:t>
      </w:r>
      <w:r w:rsidRPr="000A2FE7">
        <w:rPr>
          <w:rFonts w:cs="Arial"/>
          <w:szCs w:val="24"/>
        </w:rPr>
        <w:t>)</w:t>
      </w:r>
    </w:p>
    <w:p w14:paraId="700D6379" w14:textId="3A089225" w:rsidR="00560EBE" w:rsidRPr="00D2583B" w:rsidRDefault="00560EB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For each major component unit, disclose the nature and </w:t>
      </w:r>
      <w:proofErr w:type="gramStart"/>
      <w:r w:rsidRPr="00D2583B">
        <w:rPr>
          <w:rFonts w:cs="Arial"/>
          <w:szCs w:val="24"/>
        </w:rPr>
        <w:t>amount</w:t>
      </w:r>
      <w:proofErr w:type="gramEnd"/>
      <w:r w:rsidRPr="00D2583B">
        <w:rPr>
          <w:rFonts w:cs="Arial"/>
          <w:szCs w:val="24"/>
        </w:rPr>
        <w:t xml:space="preserve"> of significant transactions with the District and other component units</w:t>
      </w:r>
      <w:r w:rsidR="003D1D6B">
        <w:rPr>
          <w:rFonts w:cs="Arial"/>
          <w:szCs w:val="24"/>
        </w:rPr>
        <w:t>.</w:t>
      </w:r>
      <w:r w:rsidRPr="00D2583B">
        <w:rPr>
          <w:rFonts w:cs="Arial"/>
          <w:szCs w:val="24"/>
        </w:rPr>
        <w:t xml:space="preserve"> (GASB 34, </w:t>
      </w:r>
      <w:r w:rsidR="00932DAE" w:rsidRPr="00D2583B">
        <w:rPr>
          <w:rFonts w:cs="Arial"/>
          <w:szCs w:val="24"/>
        </w:rPr>
        <w:t>¶</w:t>
      </w:r>
      <w:r w:rsidRPr="00D2583B">
        <w:rPr>
          <w:rFonts w:cs="Arial"/>
          <w:szCs w:val="24"/>
        </w:rPr>
        <w:t>128)</w:t>
      </w:r>
    </w:p>
    <w:p w14:paraId="700D637A" w14:textId="0A5BEC9E" w:rsidR="002F519E" w:rsidRPr="00D2583B" w:rsidRDefault="002F519E"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Major </w:t>
      </w:r>
      <w:r w:rsidR="006C61EE" w:rsidRPr="00D2583B">
        <w:rPr>
          <w:rFonts w:cs="Arial"/>
          <w:szCs w:val="24"/>
        </w:rPr>
        <w:t>component</w:t>
      </w:r>
      <w:r w:rsidRPr="00D2583B">
        <w:rPr>
          <w:rFonts w:cs="Arial"/>
          <w:szCs w:val="24"/>
        </w:rPr>
        <w:t xml:space="preserve"> unit financial statements are required to be separately displayed in the </w:t>
      </w:r>
      <w:proofErr w:type="gramStart"/>
      <w:r w:rsidRPr="00D2583B">
        <w:rPr>
          <w:rFonts w:cs="Arial"/>
          <w:szCs w:val="24"/>
        </w:rPr>
        <w:t>District’s</w:t>
      </w:r>
      <w:proofErr w:type="gramEnd"/>
      <w:r w:rsidRPr="00D2583B">
        <w:rPr>
          <w:rFonts w:cs="Arial"/>
          <w:szCs w:val="24"/>
        </w:rPr>
        <w:t xml:space="preserve"> financial statements (GASB Cod. §2600 and GASB </w:t>
      </w:r>
      <w:r w:rsidR="006B7138" w:rsidRPr="00D2583B">
        <w:rPr>
          <w:rFonts w:cs="Arial"/>
          <w:szCs w:val="24"/>
        </w:rPr>
        <w:t>61</w:t>
      </w:r>
      <w:r w:rsidR="00E50FBF" w:rsidRPr="00D2583B">
        <w:rPr>
          <w:rFonts w:cs="Arial"/>
          <w:szCs w:val="24"/>
        </w:rPr>
        <w:t>, ¶</w:t>
      </w:r>
      <w:r w:rsidR="006B7138" w:rsidRPr="00D2583B">
        <w:rPr>
          <w:rFonts w:cs="Arial"/>
          <w:szCs w:val="24"/>
        </w:rPr>
        <w:t>7</w:t>
      </w:r>
      <w:r w:rsidRPr="00D2583B">
        <w:rPr>
          <w:rFonts w:cs="Arial"/>
          <w:szCs w:val="24"/>
        </w:rPr>
        <w:t>)</w:t>
      </w:r>
      <w:r w:rsidR="006F17B1" w:rsidRPr="00D2583B">
        <w:rPr>
          <w:rFonts w:cs="Arial"/>
          <w:szCs w:val="24"/>
        </w:rPr>
        <w:t>.</w:t>
      </w:r>
      <w:r w:rsidRPr="00D2583B">
        <w:rPr>
          <w:rFonts w:cs="Arial"/>
          <w:szCs w:val="24"/>
        </w:rPr>
        <w:t xml:space="preserve"> The reporting requirements may be satisfied by</w:t>
      </w:r>
      <w:r w:rsidR="002A6E9A">
        <w:rPr>
          <w:rFonts w:cs="Arial"/>
          <w:szCs w:val="24"/>
        </w:rPr>
        <w:t xml:space="preserve"> one of the following</w:t>
      </w:r>
      <w:r w:rsidRPr="00D2583B">
        <w:rPr>
          <w:rFonts w:cs="Arial"/>
          <w:szCs w:val="24"/>
        </w:rPr>
        <w:t>:</w:t>
      </w:r>
    </w:p>
    <w:p w14:paraId="700D637B" w14:textId="12847D08"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w:t>
      </w:r>
      <w:r w:rsidR="002F519E" w:rsidRPr="00D2583B">
        <w:rPr>
          <w:rFonts w:cs="Arial"/>
          <w:szCs w:val="24"/>
        </w:rPr>
        <w:t xml:space="preserve"> each major component unit in a separate column in the </w:t>
      </w:r>
      <w:proofErr w:type="gramStart"/>
      <w:r w:rsidR="002F519E" w:rsidRPr="00D2583B">
        <w:rPr>
          <w:rFonts w:cs="Arial"/>
          <w:szCs w:val="24"/>
        </w:rPr>
        <w:t>District’s</w:t>
      </w:r>
      <w:proofErr w:type="gramEnd"/>
      <w:r w:rsidR="002F519E" w:rsidRPr="00D2583B">
        <w:rPr>
          <w:rFonts w:cs="Arial"/>
          <w:szCs w:val="24"/>
        </w:rPr>
        <w:t xml:space="preserve"> statements of net </w:t>
      </w:r>
      <w:r w:rsidR="00EC62F6" w:rsidRPr="00D2583B">
        <w:rPr>
          <w:rFonts w:cs="Arial"/>
          <w:szCs w:val="24"/>
        </w:rPr>
        <w:t>position</w:t>
      </w:r>
      <w:r w:rsidR="002F519E" w:rsidRPr="00D2583B">
        <w:rPr>
          <w:rFonts w:cs="Arial"/>
          <w:szCs w:val="24"/>
        </w:rPr>
        <w:t xml:space="preserve"> and activities</w:t>
      </w:r>
      <w:r w:rsidR="001B5047">
        <w:rPr>
          <w:rFonts w:cs="Arial"/>
          <w:szCs w:val="24"/>
        </w:rPr>
        <w:t>.</w:t>
      </w:r>
    </w:p>
    <w:p w14:paraId="700D637C" w14:textId="2524414D" w:rsidR="002F519E"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I</w:t>
      </w:r>
      <w:r w:rsidR="004F46C7" w:rsidRPr="00D2583B">
        <w:rPr>
          <w:rFonts w:cs="Arial"/>
          <w:szCs w:val="24"/>
        </w:rPr>
        <w:t xml:space="preserve">ncluding combining statements of major component units after the </w:t>
      </w:r>
      <w:proofErr w:type="gramStart"/>
      <w:r w:rsidR="004F46C7" w:rsidRPr="00D2583B">
        <w:rPr>
          <w:rFonts w:cs="Arial"/>
          <w:szCs w:val="24"/>
        </w:rPr>
        <w:t>District’s</w:t>
      </w:r>
      <w:proofErr w:type="gramEnd"/>
      <w:r w:rsidR="004F46C7" w:rsidRPr="00D2583B">
        <w:rPr>
          <w:rFonts w:cs="Arial"/>
          <w:szCs w:val="24"/>
        </w:rPr>
        <w:t xml:space="preserve"> statements</w:t>
      </w:r>
      <w:r w:rsidR="001B5047">
        <w:rPr>
          <w:rFonts w:cs="Arial"/>
          <w:szCs w:val="24"/>
        </w:rPr>
        <w:t>.</w:t>
      </w:r>
    </w:p>
    <w:p w14:paraId="700D637D" w14:textId="5A51BF51" w:rsidR="004F46C7" w:rsidRPr="00D2583B" w:rsidRDefault="00CD65AB" w:rsidP="007E6A60">
      <w:pPr>
        <w:pStyle w:val="BodyTextIndent2"/>
        <w:numPr>
          <w:ilvl w:val="2"/>
          <w:numId w:val="17"/>
        </w:numPr>
        <w:tabs>
          <w:tab w:val="left" w:pos="-6390"/>
          <w:tab w:val="left" w:pos="-6300"/>
        </w:tabs>
        <w:spacing w:after="120"/>
        <w:jc w:val="left"/>
        <w:outlineLvl w:val="2"/>
        <w:rPr>
          <w:rFonts w:cs="Arial"/>
          <w:szCs w:val="24"/>
        </w:rPr>
      </w:pPr>
      <w:r>
        <w:rPr>
          <w:rFonts w:cs="Arial"/>
          <w:szCs w:val="24"/>
        </w:rPr>
        <w:t>P</w:t>
      </w:r>
      <w:r w:rsidR="004F46C7" w:rsidRPr="00D2583B">
        <w:rPr>
          <w:rFonts w:cs="Arial"/>
          <w:szCs w:val="24"/>
        </w:rPr>
        <w:t>resenting condensed financial statements in the notes.</w:t>
      </w:r>
    </w:p>
    <w:p w14:paraId="700D637E" w14:textId="60018955" w:rsidR="004F46C7" w:rsidRPr="00D2583B" w:rsidRDefault="004F46C7" w:rsidP="007E6A60">
      <w:pPr>
        <w:pStyle w:val="BodyTextIndent2"/>
        <w:numPr>
          <w:ilvl w:val="1"/>
          <w:numId w:val="17"/>
        </w:numPr>
        <w:tabs>
          <w:tab w:val="left" w:pos="-6390"/>
          <w:tab w:val="left" w:pos="-6300"/>
        </w:tabs>
        <w:spacing w:after="120"/>
        <w:jc w:val="left"/>
        <w:outlineLvl w:val="1"/>
        <w:rPr>
          <w:rFonts w:cs="Arial"/>
          <w:szCs w:val="24"/>
        </w:rPr>
      </w:pPr>
      <w:r w:rsidRPr="00D2583B">
        <w:rPr>
          <w:rFonts w:cs="Arial"/>
          <w:szCs w:val="24"/>
        </w:rPr>
        <w:t xml:space="preserve">Nonmajor component units should be aggregated in a single column. A combining statement for the nonmajor component units is not required but may be presented as supplementary information. (GASB </w:t>
      </w:r>
      <w:r w:rsidR="00EB5E95" w:rsidRPr="00D2583B">
        <w:rPr>
          <w:rFonts w:cs="Arial"/>
          <w:szCs w:val="24"/>
        </w:rPr>
        <w:t>61</w:t>
      </w:r>
      <w:r w:rsidR="00246A0E" w:rsidRPr="00D2583B">
        <w:rPr>
          <w:rFonts w:cs="Arial"/>
          <w:szCs w:val="24"/>
        </w:rPr>
        <w:t>,</w:t>
      </w:r>
      <w:r w:rsidR="00E35003" w:rsidRPr="00D2583B">
        <w:rPr>
          <w:rFonts w:cs="Arial"/>
          <w:szCs w:val="24"/>
        </w:rPr>
        <w:t xml:space="preserve"> </w:t>
      </w:r>
      <w:r w:rsidR="004B0B74" w:rsidRPr="00D2583B">
        <w:rPr>
          <w:rFonts w:cs="Arial"/>
          <w:szCs w:val="24"/>
        </w:rPr>
        <w:t>¶</w:t>
      </w:r>
      <w:r w:rsidRPr="00D2583B">
        <w:rPr>
          <w:rFonts w:cs="Arial"/>
          <w:szCs w:val="24"/>
        </w:rPr>
        <w:t>7)</w:t>
      </w:r>
    </w:p>
    <w:p w14:paraId="700D637F" w14:textId="40BE9D13" w:rsidR="00851467" w:rsidRPr="000B3B55" w:rsidRDefault="00851467" w:rsidP="007E6A60">
      <w:pPr>
        <w:pStyle w:val="Heading1"/>
        <w:jc w:val="left"/>
      </w:pPr>
      <w:r w:rsidRPr="000B3B55">
        <w:lastRenderedPageBreak/>
        <w:t xml:space="preserve">Notes to </w:t>
      </w:r>
      <w:r w:rsidR="00BC7220">
        <w:t>r</w:t>
      </w:r>
      <w:r w:rsidRPr="000B3B55">
        <w:t xml:space="preserve">equired </w:t>
      </w:r>
      <w:r w:rsidR="00BC7220">
        <w:t>s</w:t>
      </w:r>
      <w:r w:rsidRPr="000B3B55">
        <w:t xml:space="preserve">upplementary </w:t>
      </w:r>
      <w:r w:rsidR="00BC7220">
        <w:t>i</w:t>
      </w:r>
      <w:r w:rsidRPr="000B3B55">
        <w:t>nformation</w:t>
      </w:r>
      <w:r w:rsidR="00F819E7" w:rsidRPr="000B3B55">
        <w:t xml:space="preserve"> (RSI)</w:t>
      </w:r>
    </w:p>
    <w:p w14:paraId="700D6380" w14:textId="576C018B" w:rsidR="00432F45" w:rsidRPr="00D2583B" w:rsidRDefault="00432F45" w:rsidP="007E6A60">
      <w:pPr>
        <w:pStyle w:val="BodyTextIndent2"/>
        <w:numPr>
          <w:ilvl w:val="0"/>
          <w:numId w:val="18"/>
        </w:numPr>
        <w:tabs>
          <w:tab w:val="left" w:pos="-6390"/>
          <w:tab w:val="left" w:pos="-6300"/>
        </w:tabs>
        <w:spacing w:after="120"/>
        <w:jc w:val="left"/>
        <w:outlineLvl w:val="0"/>
        <w:rPr>
          <w:rFonts w:cs="Arial"/>
          <w:szCs w:val="24"/>
        </w:rPr>
      </w:pPr>
      <w:r w:rsidRPr="00D2583B">
        <w:rPr>
          <w:rFonts w:cs="Arial"/>
          <w:szCs w:val="24"/>
        </w:rPr>
        <w:t>Budgetary comparison schedules</w:t>
      </w:r>
      <w:r w:rsidR="00B37163">
        <w:rPr>
          <w:rFonts w:cs="Arial"/>
          <w:szCs w:val="24"/>
        </w:rPr>
        <w:t>:</w:t>
      </w:r>
    </w:p>
    <w:p w14:paraId="700D6381" w14:textId="056B61E4"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General budget policies</w:t>
      </w:r>
      <w:r w:rsidR="00F92824">
        <w:rPr>
          <w:rFonts w:cs="Arial"/>
          <w:szCs w:val="24"/>
        </w:rPr>
        <w:t>.</w:t>
      </w:r>
    </w:p>
    <w:p w14:paraId="700D6382" w14:textId="2E79E7D6" w:rsidR="00851467" w:rsidRPr="00D2583B" w:rsidRDefault="00851467"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Budgetary basis of accounting and budget/GAAP reporting differences not otherwise reconciled in the basic financial statements</w:t>
      </w:r>
      <w:r w:rsidR="00F92824">
        <w:rPr>
          <w:rFonts w:cs="Arial"/>
          <w:szCs w:val="24"/>
        </w:rPr>
        <w:t>.</w:t>
      </w:r>
      <w:r w:rsidRPr="00D2583B">
        <w:rPr>
          <w:rFonts w:cs="Arial"/>
          <w:szCs w:val="24"/>
        </w:rPr>
        <w:t xml:space="preserve"> (GASB Cod. §2400)</w:t>
      </w:r>
    </w:p>
    <w:p w14:paraId="700D6383" w14:textId="45488895" w:rsidR="00851467" w:rsidRPr="00835FB3" w:rsidRDefault="00114638" w:rsidP="007E6A60">
      <w:pPr>
        <w:pStyle w:val="BodyTextIndent2"/>
        <w:numPr>
          <w:ilvl w:val="1"/>
          <w:numId w:val="18"/>
        </w:numPr>
        <w:tabs>
          <w:tab w:val="left" w:pos="-6390"/>
          <w:tab w:val="left" w:pos="-6300"/>
        </w:tabs>
        <w:spacing w:after="120"/>
        <w:jc w:val="left"/>
        <w:outlineLvl w:val="1"/>
        <w:rPr>
          <w:rFonts w:cs="Arial"/>
          <w:szCs w:val="24"/>
        </w:rPr>
      </w:pPr>
      <w:r w:rsidRPr="00D2583B">
        <w:rPr>
          <w:rFonts w:cs="Arial"/>
          <w:szCs w:val="24"/>
        </w:rPr>
        <w:t>Excesses of expenditures over appropriations in the general fund and major special revenue funds that ha</w:t>
      </w:r>
      <w:r w:rsidR="006F17B1" w:rsidRPr="00D2583B">
        <w:rPr>
          <w:rFonts w:cs="Arial"/>
          <w:szCs w:val="24"/>
        </w:rPr>
        <w:t>ve</w:t>
      </w:r>
      <w:r w:rsidRPr="00D2583B">
        <w:rPr>
          <w:rFonts w:cs="Arial"/>
          <w:szCs w:val="24"/>
        </w:rPr>
        <w:t xml:space="preserve"> a legally adopted budget when the </w:t>
      </w:r>
      <w:proofErr w:type="spellStart"/>
      <w:r w:rsidRPr="00D2583B">
        <w:rPr>
          <w:rFonts w:cs="Arial"/>
          <w:szCs w:val="24"/>
        </w:rPr>
        <w:t>overexpenditure</w:t>
      </w:r>
      <w:proofErr w:type="spellEnd"/>
      <w:r w:rsidRPr="00D2583B">
        <w:rPr>
          <w:rFonts w:cs="Arial"/>
          <w:szCs w:val="24"/>
        </w:rPr>
        <w:t xml:space="preserve"> constitutes a </w:t>
      </w:r>
      <w:r w:rsidRPr="00835FB3">
        <w:rPr>
          <w:rFonts w:cs="Arial"/>
          <w:szCs w:val="24"/>
        </w:rPr>
        <w:t>significant violation of finance-related legal provisions. Also, disclose actions taken to address such violations. (</w:t>
      </w:r>
      <w:r w:rsidR="008377BF" w:rsidRPr="00835FB3">
        <w:rPr>
          <w:rFonts w:cs="Arial"/>
          <w:kern w:val="2"/>
          <w:szCs w:val="24"/>
        </w:rPr>
        <w:t>GASB Implementation Guide No. 2015-1</w:t>
      </w:r>
      <w:r w:rsidRPr="00835FB3">
        <w:rPr>
          <w:rFonts w:cs="Arial"/>
          <w:szCs w:val="24"/>
        </w:rPr>
        <w:t>, question 7.93.1)</w:t>
      </w:r>
    </w:p>
    <w:p w14:paraId="60B96366" w14:textId="133DED7F" w:rsidR="00176DAD" w:rsidRPr="00006837" w:rsidRDefault="00176DAD" w:rsidP="007E6A60">
      <w:pPr>
        <w:pStyle w:val="BodyTextIndent2"/>
        <w:numPr>
          <w:ilvl w:val="0"/>
          <w:numId w:val="18"/>
        </w:numPr>
        <w:tabs>
          <w:tab w:val="left" w:pos="-6390"/>
          <w:tab w:val="left" w:pos="-6300"/>
        </w:tabs>
        <w:spacing w:after="120"/>
        <w:jc w:val="left"/>
        <w:outlineLvl w:val="0"/>
        <w:rPr>
          <w:rFonts w:cs="Arial"/>
          <w:b/>
          <w:szCs w:val="24"/>
        </w:rPr>
      </w:pPr>
      <w:r w:rsidRPr="00835FB3">
        <w:rPr>
          <w:rFonts w:cs="Arial"/>
          <w:szCs w:val="24"/>
        </w:rPr>
        <w:t xml:space="preserve">Pension schedules </w:t>
      </w:r>
      <w:r w:rsidR="000A2FE7" w:rsidRPr="000A2FE7">
        <w:rPr>
          <w:rFonts w:cs="Arial"/>
          <w:szCs w:val="24"/>
        </w:rPr>
        <w:t>(GASB 68, ¶82; GASB 73, ¶117)</w:t>
      </w:r>
      <w:r w:rsidRPr="00835FB3">
        <w:rPr>
          <w:rFonts w:cs="Arial"/>
          <w:szCs w:val="24"/>
        </w:rPr>
        <w:t xml:space="preserve">. Factors that significantly affect trends in the </w:t>
      </w:r>
      <w:r w:rsidR="00956C08">
        <w:rPr>
          <w:rFonts w:cs="Arial"/>
          <w:szCs w:val="24"/>
        </w:rPr>
        <w:t xml:space="preserve">amounts reported in the </w:t>
      </w:r>
      <w:r w:rsidRPr="00835FB3">
        <w:rPr>
          <w:rFonts w:cs="Arial"/>
          <w:szCs w:val="24"/>
        </w:rPr>
        <w:t>pension schedules, including, for example, changes of benefit terms, changes in the size or composition of the population covered by the benefit terms, or the use of different assumptions</w:t>
      </w:r>
      <w:r w:rsidR="00BD1470" w:rsidRPr="00835FB3">
        <w:rPr>
          <w:rFonts w:cs="Arial"/>
          <w:szCs w:val="24"/>
        </w:rPr>
        <w:t xml:space="preserve">. </w:t>
      </w:r>
      <w:bookmarkStart w:id="2" w:name="_Hlk514155402"/>
      <w:r w:rsidR="00BD1470" w:rsidRPr="00835FB3">
        <w:rPr>
          <w:rFonts w:cs="Arial"/>
          <w:szCs w:val="24"/>
        </w:rPr>
        <w:t xml:space="preserve">Information about investment-related factors that significantly affect trends in the amounts reported should be limited to those factors over which the pension plan or the </w:t>
      </w:r>
      <w:proofErr w:type="gramStart"/>
      <w:r w:rsidR="001443BB" w:rsidRPr="00835FB3">
        <w:rPr>
          <w:rFonts w:cs="Arial"/>
          <w:szCs w:val="24"/>
        </w:rPr>
        <w:t>District</w:t>
      </w:r>
      <w:proofErr w:type="gramEnd"/>
      <w:r w:rsidR="00BD1470" w:rsidRPr="00835FB3">
        <w:rPr>
          <w:rFonts w:cs="Arial"/>
          <w:szCs w:val="24"/>
        </w:rPr>
        <w:t xml:space="preserve"> have </w:t>
      </w:r>
      <w:proofErr w:type="gramStart"/>
      <w:r w:rsidR="00BD1470" w:rsidRPr="00835FB3">
        <w:rPr>
          <w:rFonts w:cs="Arial"/>
          <w:szCs w:val="24"/>
        </w:rPr>
        <w:t>influence</w:t>
      </w:r>
      <w:proofErr w:type="gramEnd"/>
      <w:r w:rsidR="00BD1470" w:rsidRPr="00835FB3">
        <w:rPr>
          <w:rFonts w:cs="Arial"/>
          <w:szCs w:val="24"/>
        </w:rPr>
        <w:t>, for example, changes in investment policies.</w:t>
      </w:r>
      <w:bookmarkEnd w:id="2"/>
      <w:r w:rsidR="00D2562E">
        <w:rPr>
          <w:rFonts w:cs="Arial"/>
          <w:szCs w:val="24"/>
        </w:rPr>
        <w:t xml:space="preserve"> </w:t>
      </w:r>
      <w:r w:rsidR="00BD1470" w:rsidRPr="00006837">
        <w:rPr>
          <w:rFonts w:cs="Arial"/>
          <w:b/>
          <w:szCs w:val="24"/>
        </w:rPr>
        <w:t>Information about external economic factors, for example, changes in market prices, should not be presented.</w:t>
      </w:r>
    </w:p>
    <w:p w14:paraId="6C9CF18B" w14:textId="572B1E2B" w:rsidR="00956C08" w:rsidRPr="00F45181" w:rsidRDefault="00090DAC" w:rsidP="007E6A60">
      <w:pPr>
        <w:pStyle w:val="BodyTextIndent2"/>
        <w:numPr>
          <w:ilvl w:val="0"/>
          <w:numId w:val="18"/>
        </w:numPr>
        <w:tabs>
          <w:tab w:val="left" w:pos="-6390"/>
          <w:tab w:val="left" w:pos="-6300"/>
        </w:tabs>
        <w:spacing w:after="120"/>
        <w:ind w:firstLine="0"/>
        <w:jc w:val="left"/>
        <w:outlineLvl w:val="0"/>
        <w:rPr>
          <w:rFonts w:cs="Arial"/>
          <w:szCs w:val="24"/>
        </w:rPr>
      </w:pPr>
      <w:r w:rsidRPr="00F45181">
        <w:rPr>
          <w:rFonts w:cs="Arial"/>
          <w:szCs w:val="24"/>
        </w:rPr>
        <w:t xml:space="preserve">OPEB schedules </w:t>
      </w:r>
      <w:r w:rsidR="00006837" w:rsidRPr="00F45181">
        <w:rPr>
          <w:rFonts w:cs="Arial"/>
          <w:szCs w:val="24"/>
        </w:rPr>
        <w:t>(</w:t>
      </w:r>
      <w:r w:rsidR="00956C08" w:rsidRPr="00F45181">
        <w:rPr>
          <w:rFonts w:cs="Arial"/>
          <w:szCs w:val="24"/>
        </w:rPr>
        <w:t>GASB Cod. §P50 and GASB 75</w:t>
      </w:r>
      <w:r w:rsidR="00807E00" w:rsidRPr="00F45181">
        <w:rPr>
          <w:rFonts w:cs="Arial"/>
          <w:szCs w:val="24"/>
        </w:rPr>
        <w:t>, ¶98</w:t>
      </w:r>
      <w:r w:rsidR="00006837" w:rsidRPr="00F45181">
        <w:rPr>
          <w:rFonts w:cs="Arial"/>
          <w:szCs w:val="24"/>
        </w:rPr>
        <w:t>)</w:t>
      </w:r>
      <w:r w:rsidR="00177A0E" w:rsidRPr="00F45181">
        <w:rPr>
          <w:rFonts w:cs="Arial"/>
          <w:szCs w:val="24"/>
        </w:rPr>
        <w:t xml:space="preserve">. </w:t>
      </w:r>
      <w:r w:rsidR="00B77C8B" w:rsidRPr="00F45181">
        <w:rPr>
          <w:rFonts w:cs="Arial"/>
          <w:szCs w:val="24"/>
        </w:rPr>
        <w:t>Factors that significantly affect the trends in the amounts reported</w:t>
      </w:r>
      <w:r w:rsidR="00956C08" w:rsidRPr="00F45181">
        <w:rPr>
          <w:rFonts w:cs="Arial"/>
          <w:szCs w:val="24"/>
        </w:rPr>
        <w:t xml:space="preserve"> in the OPEB schedules</w:t>
      </w:r>
      <w:r w:rsidR="00B77C8B" w:rsidRPr="00F45181">
        <w:rPr>
          <w:rFonts w:cs="Arial"/>
          <w:szCs w:val="24"/>
        </w:rPr>
        <w:t xml:space="preserve">, including, for example, changes in benefit </w:t>
      </w:r>
      <w:r w:rsidR="00040C17" w:rsidRPr="00F45181">
        <w:rPr>
          <w:rFonts w:cs="Arial"/>
          <w:szCs w:val="24"/>
        </w:rPr>
        <w:t>terms</w:t>
      </w:r>
      <w:r w:rsidR="00B77C8B" w:rsidRPr="00F45181">
        <w:rPr>
          <w:rFonts w:cs="Arial"/>
          <w:szCs w:val="24"/>
        </w:rPr>
        <w:t xml:space="preserve">, </w:t>
      </w:r>
      <w:r w:rsidR="006E13D4" w:rsidRPr="00F45181">
        <w:rPr>
          <w:rFonts w:cs="Arial"/>
          <w:szCs w:val="24"/>
        </w:rPr>
        <w:t xml:space="preserve">changes in </w:t>
      </w:r>
      <w:r w:rsidR="00B77C8B" w:rsidRPr="00F45181">
        <w:rPr>
          <w:rFonts w:cs="Arial"/>
          <w:szCs w:val="24"/>
        </w:rPr>
        <w:t xml:space="preserve">the size or composition of the population </w:t>
      </w:r>
      <w:r w:rsidR="006E13D4" w:rsidRPr="00F45181">
        <w:rPr>
          <w:rFonts w:cs="Arial"/>
          <w:szCs w:val="24"/>
        </w:rPr>
        <w:t>covered by the benefit terms</w:t>
      </w:r>
      <w:r w:rsidR="00B77C8B" w:rsidRPr="00F45181">
        <w:rPr>
          <w:rFonts w:cs="Arial"/>
          <w:szCs w:val="24"/>
        </w:rPr>
        <w:t xml:space="preserve">, or the </w:t>
      </w:r>
      <w:r w:rsidR="006E13D4" w:rsidRPr="00F45181">
        <w:rPr>
          <w:rFonts w:cs="Arial"/>
          <w:szCs w:val="24"/>
        </w:rPr>
        <w:t xml:space="preserve">use of different </w:t>
      </w:r>
      <w:r w:rsidR="00B77C8B" w:rsidRPr="00F45181">
        <w:rPr>
          <w:rFonts w:cs="Arial"/>
          <w:szCs w:val="24"/>
        </w:rPr>
        <w:t>assumptions.</w:t>
      </w:r>
      <w:r w:rsidR="00076385" w:rsidRPr="00F45181">
        <w:rPr>
          <w:rFonts w:cs="Arial"/>
          <w:szCs w:val="24"/>
        </w:rPr>
        <w:t xml:space="preserve"> </w:t>
      </w:r>
      <w:r w:rsidR="006E13D4" w:rsidRPr="00F45181">
        <w:rPr>
          <w:rFonts w:cs="Arial"/>
          <w:szCs w:val="24"/>
        </w:rPr>
        <w:t xml:space="preserve">Information about investment-related factors that significantly affect trends in the amounts reported should be limited to those factors over which the OPEB plan or the </w:t>
      </w:r>
      <w:proofErr w:type="gramStart"/>
      <w:r w:rsidR="006E13D4" w:rsidRPr="00F45181">
        <w:rPr>
          <w:rFonts w:cs="Arial"/>
          <w:szCs w:val="24"/>
        </w:rPr>
        <w:t>District</w:t>
      </w:r>
      <w:proofErr w:type="gramEnd"/>
      <w:r w:rsidR="006E13D4" w:rsidRPr="00F45181">
        <w:rPr>
          <w:rFonts w:cs="Arial"/>
          <w:szCs w:val="24"/>
        </w:rPr>
        <w:t xml:space="preserve"> have influence, for example, changes in investment policies. </w:t>
      </w:r>
      <w:r w:rsidR="00956C08" w:rsidRPr="00F45181">
        <w:rPr>
          <w:rFonts w:cs="Arial"/>
          <w:b/>
          <w:szCs w:val="24"/>
        </w:rPr>
        <w:t>Information about external economic factors, for example, changes in market prices, should not be presented.</w:t>
      </w:r>
    </w:p>
    <w:p w14:paraId="1A993C9A" w14:textId="77777777" w:rsidR="00FD0CF5" w:rsidRPr="00472236" w:rsidRDefault="00FD0CF5" w:rsidP="00472236">
      <w:pPr>
        <w:ind w:firstLine="288"/>
      </w:pPr>
      <w:bookmarkStart w:id="3" w:name="LastPage"/>
      <w:bookmarkEnd w:id="3"/>
    </w:p>
    <w:sectPr w:rsidR="00FD0CF5" w:rsidRPr="00472236" w:rsidSect="00FD0CF5">
      <w:headerReference w:type="default" r:id="rId11"/>
      <w:footerReference w:type="default" r:id="rId12"/>
      <w:footerReference w:type="first" r:id="rId13"/>
      <w:pgSz w:w="12240" w:h="15840" w:code="1"/>
      <w:pgMar w:top="720" w:right="1440" w:bottom="720" w:left="1800" w:header="720" w:footer="43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F2B9B" w14:textId="77777777" w:rsidR="0097587C" w:rsidRDefault="0097587C">
      <w:r>
        <w:separator/>
      </w:r>
    </w:p>
  </w:endnote>
  <w:endnote w:type="continuationSeparator" w:id="0">
    <w:p w14:paraId="2811E9F7" w14:textId="77777777" w:rsidR="0097587C" w:rsidRDefault="0097587C">
      <w:r>
        <w:continuationSeparator/>
      </w:r>
    </w:p>
  </w:endnote>
  <w:endnote w:type="continuationNotice" w:id="1">
    <w:p w14:paraId="63F5C854" w14:textId="77777777" w:rsidR="0097587C" w:rsidRDefault="00975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wis721 Md BT">
    <w:altName w:val="Arial"/>
    <w:panose1 w:val="020B06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6CBD" w14:textId="5A525165" w:rsidR="00867E10" w:rsidRPr="00822802" w:rsidRDefault="00867E10"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0E6AF4">
      <w:rPr>
        <w:rFonts w:ascii="Arial" w:hAnsi="Arial" w:cs="Arial"/>
        <w:b/>
        <w:i/>
        <w:noProof/>
        <w:sz w:val="18"/>
        <w:szCs w:val="18"/>
      </w:rPr>
      <w:t>10</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 xml:space="preserve">of </w:t>
    </w:r>
    <w:r w:rsidR="00FD0CF5" w:rsidRPr="001558EE">
      <w:rPr>
        <w:rFonts w:ascii="Arial" w:hAnsi="Arial" w:cs="Arial"/>
        <w:b/>
        <w:i/>
        <w:sz w:val="18"/>
        <w:szCs w:val="18"/>
      </w:rPr>
      <w:fldChar w:fldCharType="begin"/>
    </w:r>
    <w:r w:rsidR="00FD0CF5" w:rsidRPr="001558EE">
      <w:rPr>
        <w:rFonts w:ascii="Arial" w:hAnsi="Arial" w:cs="Arial"/>
        <w:b/>
        <w:i/>
        <w:sz w:val="18"/>
        <w:szCs w:val="18"/>
      </w:rPr>
      <w:instrText xml:space="preserve"> PAGEREF  LastPage \# "0"  \* MERGEFORMAT </w:instrText>
    </w:r>
    <w:r w:rsidR="00FD0CF5" w:rsidRPr="001558EE">
      <w:rPr>
        <w:rFonts w:ascii="Arial" w:hAnsi="Arial" w:cs="Arial"/>
        <w:b/>
        <w:i/>
        <w:sz w:val="18"/>
        <w:szCs w:val="18"/>
      </w:rPr>
      <w:fldChar w:fldCharType="separate"/>
    </w:r>
    <w:r w:rsidR="00040CA3">
      <w:rPr>
        <w:rFonts w:ascii="Arial" w:hAnsi="Arial" w:cs="Arial"/>
        <w:b/>
        <w:i/>
        <w:noProof/>
        <w:sz w:val="18"/>
        <w:szCs w:val="18"/>
      </w:rPr>
      <w:t>13</w:t>
    </w:r>
    <w:r w:rsidR="00FD0CF5" w:rsidRPr="001558EE">
      <w:rPr>
        <w:rFonts w:ascii="Arial" w:hAnsi="Arial" w:cs="Arial"/>
        <w:b/>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34FB" w14:textId="6FEB73B7" w:rsidR="008F0193" w:rsidRPr="008F0193" w:rsidRDefault="008F0193" w:rsidP="008F0193">
    <w:pPr>
      <w:pStyle w:val="Footer"/>
      <w:tabs>
        <w:tab w:val="clear" w:pos="4320"/>
        <w:tab w:val="clear" w:pos="8640"/>
        <w:tab w:val="right" w:pos="10080"/>
      </w:tabs>
      <w:rPr>
        <w:rFonts w:ascii="Arial" w:hAnsi="Arial" w:cs="Arial"/>
        <w:b/>
        <w:i/>
        <w:sz w:val="18"/>
        <w:szCs w:val="18"/>
      </w:rPr>
    </w:pPr>
    <w:r>
      <w:rPr>
        <w:rFonts w:ascii="Arial" w:hAnsi="Arial" w:cs="Arial"/>
        <w:b/>
        <w:i/>
        <w:sz w:val="18"/>
        <w:szCs w:val="18"/>
      </w:rPr>
      <w:ptab w:relativeTo="margin" w:alignment="left" w:leader="none"/>
    </w:r>
    <w:r>
      <w:rPr>
        <w:rFonts w:ascii="Arial" w:hAnsi="Arial" w:cs="Arial"/>
        <w:b/>
        <w:i/>
        <w:sz w:val="18"/>
        <w:szCs w:val="18"/>
      </w:rPr>
      <w:t>7/14</w:t>
    </w:r>
    <w:r>
      <w:rPr>
        <w:rFonts w:ascii="Arial" w:hAnsi="Arial" w:cs="Arial"/>
        <w:b/>
        <w:i/>
        <w:sz w:val="18"/>
        <w:szCs w:val="18"/>
      </w:rPr>
      <w:ptab w:relativeTo="margin" w:alignment="right" w:leader="none"/>
    </w:r>
    <w:r w:rsidRPr="000E7B58">
      <w:rPr>
        <w:rFonts w:ascii="Arial" w:hAnsi="Arial" w:cs="Arial"/>
        <w:b/>
        <w:i/>
        <w:sz w:val="18"/>
        <w:szCs w:val="18"/>
      </w:rPr>
      <w:fldChar w:fldCharType="begin"/>
    </w:r>
    <w:r w:rsidRPr="000E7B58">
      <w:rPr>
        <w:rFonts w:ascii="Arial" w:hAnsi="Arial" w:cs="Arial"/>
        <w:b/>
        <w:i/>
        <w:sz w:val="18"/>
        <w:szCs w:val="18"/>
      </w:rPr>
      <w:instrText xml:space="preserve"> PAGE </w:instrText>
    </w:r>
    <w:r w:rsidRPr="000E7B58">
      <w:rPr>
        <w:rFonts w:ascii="Arial" w:hAnsi="Arial" w:cs="Arial"/>
        <w:b/>
        <w:i/>
        <w:sz w:val="18"/>
        <w:szCs w:val="18"/>
      </w:rPr>
      <w:fldChar w:fldCharType="separate"/>
    </w:r>
    <w:r w:rsidR="00FD0CF5">
      <w:rPr>
        <w:rFonts w:ascii="Arial" w:hAnsi="Arial" w:cs="Arial"/>
        <w:b/>
        <w:i/>
        <w:noProof/>
        <w:sz w:val="18"/>
        <w:szCs w:val="18"/>
      </w:rPr>
      <w:t>1</w:t>
    </w:r>
    <w:r w:rsidRPr="000E7B58">
      <w:rPr>
        <w:rFonts w:ascii="Arial" w:hAnsi="Arial" w:cs="Arial"/>
        <w:b/>
        <w:i/>
        <w:sz w:val="18"/>
        <w:szCs w:val="18"/>
      </w:rPr>
      <w:fldChar w:fldCharType="end"/>
    </w:r>
    <w:r>
      <w:rPr>
        <w:rStyle w:val="PageNumber"/>
      </w:rPr>
      <w:t xml:space="preserve"> </w:t>
    </w:r>
    <w:r>
      <w:rPr>
        <w:rFonts w:ascii="Arial" w:hAnsi="Arial" w:cs="Arial"/>
        <w:b/>
        <w:i/>
        <w:sz w:val="18"/>
        <w:szCs w:val="18"/>
      </w:rPr>
      <w:t>of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ECD3B" w14:textId="77777777" w:rsidR="0097587C" w:rsidRDefault="0097587C">
      <w:r>
        <w:separator/>
      </w:r>
    </w:p>
  </w:footnote>
  <w:footnote w:type="continuationSeparator" w:id="0">
    <w:p w14:paraId="51AF0534" w14:textId="77777777" w:rsidR="0097587C" w:rsidRDefault="0097587C">
      <w:r>
        <w:continuationSeparator/>
      </w:r>
    </w:p>
  </w:footnote>
  <w:footnote w:type="continuationNotice" w:id="1">
    <w:p w14:paraId="16BD515E" w14:textId="77777777" w:rsidR="0097587C" w:rsidRDefault="009758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A147" w14:textId="31534A51" w:rsidR="00835FB3" w:rsidRDefault="00867E10" w:rsidP="008E254B">
    <w:pPr>
      <w:pStyle w:val="Header"/>
      <w:rPr>
        <w:rFonts w:ascii="Arial" w:hAnsi="Arial" w:cs="Arial"/>
        <w:b/>
        <w:sz w:val="24"/>
        <w:szCs w:val="24"/>
      </w:rPr>
    </w:pPr>
    <w:r>
      <w:rPr>
        <w:rFonts w:ascii="Arial" w:hAnsi="Arial" w:cs="Arial"/>
        <w:b/>
        <w:sz w:val="24"/>
        <w:szCs w:val="24"/>
      </w:rPr>
      <w:t xml:space="preserve">School </w:t>
    </w:r>
    <w:r w:rsidR="00832BC4">
      <w:rPr>
        <w:rFonts w:ascii="Arial" w:hAnsi="Arial" w:cs="Arial"/>
        <w:b/>
        <w:sz w:val="24"/>
        <w:szCs w:val="24"/>
      </w:rPr>
      <w:t>d</w:t>
    </w:r>
    <w:r>
      <w:rPr>
        <w:rFonts w:ascii="Arial" w:hAnsi="Arial" w:cs="Arial"/>
        <w:b/>
        <w:sz w:val="24"/>
        <w:szCs w:val="24"/>
      </w:rPr>
      <w:t xml:space="preserve">istrict </w:t>
    </w:r>
    <w:r w:rsidR="00832BC4">
      <w:rPr>
        <w:rFonts w:ascii="Arial" w:hAnsi="Arial" w:cs="Arial"/>
        <w:b/>
        <w:sz w:val="24"/>
        <w:szCs w:val="24"/>
      </w:rPr>
      <w:t>r</w:t>
    </w:r>
    <w:r>
      <w:rPr>
        <w:rFonts w:ascii="Arial" w:hAnsi="Arial" w:cs="Arial"/>
        <w:b/>
        <w:sz w:val="24"/>
        <w:szCs w:val="24"/>
      </w:rPr>
      <w:t xml:space="preserve">eporting </w:t>
    </w:r>
    <w:r w:rsidR="00832BC4">
      <w:rPr>
        <w:rFonts w:ascii="Arial" w:hAnsi="Arial" w:cs="Arial"/>
        <w:b/>
        <w:sz w:val="24"/>
        <w:szCs w:val="24"/>
      </w:rPr>
      <w:t>g</w:t>
    </w:r>
    <w:r>
      <w:rPr>
        <w:rFonts w:ascii="Arial" w:hAnsi="Arial" w:cs="Arial"/>
        <w:b/>
        <w:sz w:val="24"/>
        <w:szCs w:val="24"/>
      </w:rPr>
      <w:t xml:space="preserve">uidelines </w:t>
    </w:r>
    <w:r w:rsidR="009012D6">
      <w:rPr>
        <w:rFonts w:ascii="Arial" w:hAnsi="Arial" w:cs="Arial"/>
        <w:b/>
        <w:sz w:val="24"/>
        <w:szCs w:val="24"/>
      </w:rPr>
      <w:t>20</w:t>
    </w:r>
    <w:r w:rsidR="007F6743">
      <w:rPr>
        <w:rFonts w:ascii="Arial" w:hAnsi="Arial" w:cs="Arial"/>
        <w:b/>
        <w:sz w:val="24"/>
        <w:szCs w:val="24"/>
      </w:rPr>
      <w:t>2</w:t>
    </w:r>
    <w:r w:rsidR="00B43338">
      <w:rPr>
        <w:rFonts w:ascii="Arial" w:hAnsi="Arial" w:cs="Arial"/>
        <w:b/>
        <w:sz w:val="24"/>
        <w:szCs w:val="24"/>
      </w:rPr>
      <w:t>3</w:t>
    </w:r>
  </w:p>
  <w:p w14:paraId="700D6CBC" w14:textId="2573C57A" w:rsidR="00867E10" w:rsidRPr="00A1242B" w:rsidRDefault="008E254B" w:rsidP="008E254B">
    <w:pPr>
      <w:pStyle w:val="Header"/>
      <w:spacing w:after="400"/>
      <w:rPr>
        <w:rFonts w:ascii="Arial" w:hAnsi="Arial" w:cs="Arial"/>
        <w:b/>
        <w:sz w:val="24"/>
        <w:szCs w:val="24"/>
      </w:rPr>
    </w:pPr>
    <w:r>
      <w:rPr>
        <w:rFonts w:ascii="Arial" w:hAnsi="Arial" w:cs="Arial"/>
        <w:b/>
        <w:sz w:val="24"/>
        <w:szCs w:val="24"/>
      </w:rPr>
      <w:t>D</w:t>
    </w:r>
    <w:r w:rsidR="00867E10">
      <w:rPr>
        <w:rFonts w:ascii="Arial" w:hAnsi="Arial" w:cs="Arial"/>
        <w:b/>
        <w:sz w:val="24"/>
        <w:szCs w:val="24"/>
      </w:rPr>
      <w:t xml:space="preserve">isclosure </w:t>
    </w:r>
    <w:r w:rsidR="00832BC4">
      <w:rPr>
        <w:rFonts w:ascii="Arial" w:hAnsi="Arial" w:cs="Arial"/>
        <w:b/>
        <w:sz w:val="24"/>
        <w:szCs w:val="24"/>
      </w:rPr>
      <w:t>c</w:t>
    </w:r>
    <w:r w:rsidR="00867E10">
      <w:rPr>
        <w:rFonts w:ascii="Arial" w:hAnsi="Arial" w:cs="Arial"/>
        <w:b/>
        <w:sz w:val="24"/>
        <w:szCs w:val="24"/>
      </w:rPr>
      <w:t>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07C81"/>
    <w:multiLevelType w:val="hybridMultilevel"/>
    <w:tmpl w:val="8962145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15B74D7D"/>
    <w:multiLevelType w:val="multilevel"/>
    <w:tmpl w:val="DC58D1D0"/>
    <w:lvl w:ilvl="0">
      <w:start w:val="1"/>
      <w:numFmt w:val="decimal"/>
      <w:lvlText w:val="%1."/>
      <w:lvlJc w:val="right"/>
      <w:pPr>
        <w:tabs>
          <w:tab w:val="num" w:pos="432"/>
        </w:tabs>
        <w:ind w:left="432" w:hanging="144"/>
      </w:pPr>
      <w:rPr>
        <w:rFonts w:hint="default"/>
        <w:b w:val="0"/>
        <w:bCs/>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D132543"/>
    <w:multiLevelType w:val="hybridMultilevel"/>
    <w:tmpl w:val="6C5200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E7C93"/>
    <w:multiLevelType w:val="hybridMultilevel"/>
    <w:tmpl w:val="CB0629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F1391F"/>
    <w:multiLevelType w:val="multilevel"/>
    <w:tmpl w:val="78967164"/>
    <w:lvl w:ilvl="0">
      <w:start w:val="1"/>
      <w:numFmt w:val="decimal"/>
      <w:lvlText w:val="%1."/>
      <w:lvlJc w:val="right"/>
      <w:pPr>
        <w:tabs>
          <w:tab w:val="num" w:pos="648"/>
        </w:tabs>
        <w:ind w:left="648" w:hanging="360"/>
      </w:pPr>
      <w:rPr>
        <w:rFonts w:hint="default"/>
      </w:rPr>
    </w:lvl>
    <w:lvl w:ilvl="1">
      <w:start w:val="1"/>
      <w:numFmt w:val="bullet"/>
      <w:lvlText w:val=""/>
      <w:lvlJc w:val="left"/>
      <w:pPr>
        <w:tabs>
          <w:tab w:val="num" w:pos="648"/>
        </w:tabs>
        <w:ind w:left="1224" w:hanging="576"/>
      </w:pPr>
      <w:rPr>
        <w:rFonts w:ascii="Symbol" w:hAnsi="Symbol" w:hint="default"/>
        <w:color w:val="auto"/>
      </w:rPr>
    </w:lvl>
    <w:lvl w:ilvl="2">
      <w:start w:val="1"/>
      <w:numFmt w:val="lowerLetter"/>
      <w:lvlText w:val="%3."/>
      <w:lvlJc w:val="left"/>
      <w:pPr>
        <w:tabs>
          <w:tab w:val="num" w:pos="2016"/>
        </w:tabs>
        <w:ind w:left="2088" w:hanging="1008"/>
      </w:pPr>
      <w:rPr>
        <w:rFonts w:hint="default"/>
      </w:rPr>
    </w:lvl>
    <w:lvl w:ilvl="3">
      <w:start w:val="1"/>
      <w:numFmt w:val="bullet"/>
      <w:lvlText w:val=""/>
      <w:lvlJc w:val="left"/>
      <w:pPr>
        <w:tabs>
          <w:tab w:val="num" w:pos="2592"/>
        </w:tabs>
        <w:ind w:left="2808" w:hanging="936"/>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5FD04EE"/>
    <w:multiLevelType w:val="hybridMultilevel"/>
    <w:tmpl w:val="93BAC3F2"/>
    <w:lvl w:ilvl="0" w:tplc="DE8A19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951FBF"/>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8" w15:restartNumberingAfterBreak="0">
    <w:nsid w:val="37587ADA"/>
    <w:multiLevelType w:val="hybridMultilevel"/>
    <w:tmpl w:val="C110FD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44583882"/>
    <w:multiLevelType w:val="hybridMultilevel"/>
    <w:tmpl w:val="3E72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3B4CEC"/>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85F28AA"/>
    <w:multiLevelType w:val="hybridMultilevel"/>
    <w:tmpl w:val="70060EFE"/>
    <w:lvl w:ilvl="0" w:tplc="04090001">
      <w:start w:val="1"/>
      <w:numFmt w:val="bullet"/>
      <w:lvlText w:val=""/>
      <w:lvlJc w:val="left"/>
      <w:pPr>
        <w:ind w:left="648" w:hanging="360"/>
      </w:pPr>
      <w:rPr>
        <w:rFonts w:ascii="Symbol" w:hAnsi="Symbol"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512966DB"/>
    <w:multiLevelType w:val="multilevel"/>
    <w:tmpl w:val="30D47FE6"/>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672000FA"/>
    <w:multiLevelType w:val="hybridMultilevel"/>
    <w:tmpl w:val="F028F688"/>
    <w:lvl w:ilvl="0" w:tplc="04090001">
      <w:start w:val="1"/>
      <w:numFmt w:val="bullet"/>
      <w:lvlText w:val=""/>
      <w:lvlJc w:val="left"/>
      <w:pPr>
        <w:ind w:left="648" w:hanging="360"/>
      </w:pPr>
      <w:rPr>
        <w:rFonts w:ascii="Symbol" w:hAnsi="Symbol" w:hint="default"/>
      </w:rPr>
    </w:lvl>
    <w:lvl w:ilvl="1" w:tplc="04090001">
      <w:start w:val="1"/>
      <w:numFmt w:val="bullet"/>
      <w:lvlText w:val=""/>
      <w:lvlJc w:val="left"/>
      <w:pPr>
        <w:ind w:left="1368" w:hanging="360"/>
      </w:pPr>
      <w:rPr>
        <w:rFonts w:ascii="Symbol" w:hAnsi="Symbol"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5" w15:restartNumberingAfterBreak="0">
    <w:nsid w:val="6B12635B"/>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C25100D"/>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742E3C"/>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abstractNum w:abstractNumId="19" w15:restartNumberingAfterBreak="0">
    <w:nsid w:val="729876AB"/>
    <w:multiLevelType w:val="hybridMultilevel"/>
    <w:tmpl w:val="B76C602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72DC3336"/>
    <w:multiLevelType w:val="multilevel"/>
    <w:tmpl w:val="801C154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ind w:left="1152" w:hanging="360"/>
      </w:p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4DD107E"/>
    <w:multiLevelType w:val="hybridMultilevel"/>
    <w:tmpl w:val="A4BEB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5A49D2"/>
    <w:multiLevelType w:val="multilevel"/>
    <w:tmpl w:val="72685A5C"/>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8076716"/>
    <w:multiLevelType w:val="multilevel"/>
    <w:tmpl w:val="4E92A16E"/>
    <w:lvl w:ilvl="0">
      <w:start w:val="1"/>
      <w:numFmt w:val="decimal"/>
      <w:lvlText w:val="%1."/>
      <w:lvlJc w:val="right"/>
      <w:pPr>
        <w:tabs>
          <w:tab w:val="num" w:pos="432"/>
        </w:tabs>
        <w:ind w:left="432" w:hanging="144"/>
      </w:pPr>
      <w:rPr>
        <w:rFonts w:hint="default"/>
      </w:rPr>
    </w:lvl>
    <w:lvl w:ilvl="1">
      <w:start w:val="1"/>
      <w:numFmt w:val="bullet"/>
      <w:lvlText w:val=""/>
      <w:lvlJc w:val="left"/>
      <w:pPr>
        <w:tabs>
          <w:tab w:val="num" w:pos="720"/>
        </w:tabs>
        <w:ind w:left="720" w:hanging="216"/>
      </w:pPr>
      <w:rPr>
        <w:rFonts w:ascii="Symbol" w:hAnsi="Symbol" w:hint="default"/>
        <w:color w:val="auto"/>
      </w:rPr>
    </w:lvl>
    <w:lvl w:ilvl="2">
      <w:start w:val="1"/>
      <w:numFmt w:val="lowerLetter"/>
      <w:lvlText w:val="%3."/>
      <w:lvlJc w:val="left"/>
      <w:pPr>
        <w:tabs>
          <w:tab w:val="num" w:pos="1080"/>
        </w:tabs>
        <w:ind w:left="1080" w:hanging="288"/>
      </w:pPr>
      <w:rPr>
        <w:rFonts w:ascii="Arial" w:hAnsi="Arial" w:cs="Arial" w:hint="default"/>
        <w:sz w:val="24"/>
        <w:szCs w:val="24"/>
      </w:rPr>
    </w:lvl>
    <w:lvl w:ilvl="3">
      <w:start w:val="1"/>
      <w:numFmt w:val="bullet"/>
      <w:lvlText w:val=""/>
      <w:lvlJc w:val="left"/>
      <w:pPr>
        <w:tabs>
          <w:tab w:val="num" w:pos="1440"/>
        </w:tabs>
        <w:ind w:left="1440" w:hanging="288"/>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DA57A73"/>
    <w:multiLevelType w:val="hybridMultilevel"/>
    <w:tmpl w:val="91C82262"/>
    <w:lvl w:ilvl="0" w:tplc="857C45FC">
      <w:start w:val="1"/>
      <w:numFmt w:val="upperLetter"/>
      <w:lvlText w:val="%1."/>
      <w:lvlJc w:val="left"/>
      <w:pPr>
        <w:ind w:left="1224" w:hanging="360"/>
      </w:pPr>
      <w:rPr>
        <w:rFonts w:hint="default"/>
        <w:b w:val="0"/>
        <w:i w:val="0"/>
      </w:rPr>
    </w:lvl>
    <w:lvl w:ilvl="1" w:tplc="04090019">
      <w:start w:val="1"/>
      <w:numFmt w:val="lowerLetter"/>
      <w:lvlText w:val="%2."/>
      <w:lvlJc w:val="left"/>
      <w:pPr>
        <w:ind w:left="360"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5" w15:restartNumberingAfterBreak="0">
    <w:nsid w:val="7E0025CE"/>
    <w:multiLevelType w:val="hybridMultilevel"/>
    <w:tmpl w:val="576C4EFE"/>
    <w:lvl w:ilvl="0" w:tplc="04090019">
      <w:start w:val="1"/>
      <w:numFmt w:val="lowerLetter"/>
      <w:lvlText w:val="%1."/>
      <w:lvlJc w:val="left"/>
      <w:pPr>
        <w:ind w:left="8010" w:hanging="360"/>
      </w:pPr>
    </w:lvl>
    <w:lvl w:ilvl="1" w:tplc="04090001">
      <w:start w:val="1"/>
      <w:numFmt w:val="bullet"/>
      <w:lvlText w:val=""/>
      <w:lvlJc w:val="left"/>
      <w:pPr>
        <w:ind w:left="8730" w:hanging="360"/>
      </w:pPr>
      <w:rPr>
        <w:rFonts w:ascii="Symbol" w:hAnsi="Symbol" w:hint="default"/>
      </w:rPr>
    </w:lvl>
    <w:lvl w:ilvl="2" w:tplc="0409001B" w:tentative="1">
      <w:start w:val="1"/>
      <w:numFmt w:val="lowerRoman"/>
      <w:lvlText w:val="%3."/>
      <w:lvlJc w:val="right"/>
      <w:pPr>
        <w:ind w:left="9450" w:hanging="180"/>
      </w:pPr>
    </w:lvl>
    <w:lvl w:ilvl="3" w:tplc="0409000F" w:tentative="1">
      <w:start w:val="1"/>
      <w:numFmt w:val="decimal"/>
      <w:lvlText w:val="%4."/>
      <w:lvlJc w:val="left"/>
      <w:pPr>
        <w:ind w:left="10170" w:hanging="360"/>
      </w:pPr>
    </w:lvl>
    <w:lvl w:ilvl="4" w:tplc="04090019" w:tentative="1">
      <w:start w:val="1"/>
      <w:numFmt w:val="lowerLetter"/>
      <w:lvlText w:val="%5."/>
      <w:lvlJc w:val="left"/>
      <w:pPr>
        <w:ind w:left="10890" w:hanging="360"/>
      </w:pPr>
    </w:lvl>
    <w:lvl w:ilvl="5" w:tplc="0409001B" w:tentative="1">
      <w:start w:val="1"/>
      <w:numFmt w:val="lowerRoman"/>
      <w:lvlText w:val="%6."/>
      <w:lvlJc w:val="right"/>
      <w:pPr>
        <w:ind w:left="11610" w:hanging="180"/>
      </w:pPr>
    </w:lvl>
    <w:lvl w:ilvl="6" w:tplc="0409000F" w:tentative="1">
      <w:start w:val="1"/>
      <w:numFmt w:val="decimal"/>
      <w:lvlText w:val="%7."/>
      <w:lvlJc w:val="left"/>
      <w:pPr>
        <w:ind w:left="12330" w:hanging="360"/>
      </w:pPr>
    </w:lvl>
    <w:lvl w:ilvl="7" w:tplc="04090019" w:tentative="1">
      <w:start w:val="1"/>
      <w:numFmt w:val="lowerLetter"/>
      <w:lvlText w:val="%8."/>
      <w:lvlJc w:val="left"/>
      <w:pPr>
        <w:ind w:left="13050" w:hanging="360"/>
      </w:pPr>
    </w:lvl>
    <w:lvl w:ilvl="8" w:tplc="0409001B" w:tentative="1">
      <w:start w:val="1"/>
      <w:numFmt w:val="lowerRoman"/>
      <w:lvlText w:val="%9."/>
      <w:lvlJc w:val="right"/>
      <w:pPr>
        <w:ind w:left="13770" w:hanging="180"/>
      </w:pPr>
    </w:lvl>
  </w:abstractNum>
  <w:num w:numId="1" w16cid:durableId="929510964">
    <w:abstractNumId w:val="9"/>
  </w:num>
  <w:num w:numId="2" w16cid:durableId="121308998">
    <w:abstractNumId w:val="3"/>
  </w:num>
  <w:num w:numId="3" w16cid:durableId="870143573">
    <w:abstractNumId w:val="17"/>
  </w:num>
  <w:num w:numId="4" w16cid:durableId="1571773636">
    <w:abstractNumId w:val="4"/>
  </w:num>
  <w:num w:numId="5" w16cid:durableId="1792283213">
    <w:abstractNumId w:val="5"/>
  </w:num>
  <w:num w:numId="6" w16cid:durableId="1696494835">
    <w:abstractNumId w:val="6"/>
  </w:num>
  <w:num w:numId="7" w16cid:durableId="1785730849">
    <w:abstractNumId w:val="12"/>
  </w:num>
  <w:num w:numId="8" w16cid:durableId="28334894">
    <w:abstractNumId w:val="14"/>
  </w:num>
  <w:num w:numId="9" w16cid:durableId="1107240729">
    <w:abstractNumId w:val="25"/>
  </w:num>
  <w:num w:numId="10" w16cid:durableId="501239805">
    <w:abstractNumId w:val="18"/>
  </w:num>
  <w:num w:numId="11" w16cid:durableId="1234313684">
    <w:abstractNumId w:val="7"/>
  </w:num>
  <w:num w:numId="12" w16cid:durableId="749813691">
    <w:abstractNumId w:val="24"/>
  </w:num>
  <w:num w:numId="13" w16cid:durableId="394596210">
    <w:abstractNumId w:val="8"/>
  </w:num>
  <w:num w:numId="14" w16cid:durableId="1828091557">
    <w:abstractNumId w:val="23"/>
  </w:num>
  <w:num w:numId="15" w16cid:durableId="1623655147">
    <w:abstractNumId w:val="22"/>
  </w:num>
  <w:num w:numId="16" w16cid:durableId="1881629042">
    <w:abstractNumId w:val="13"/>
  </w:num>
  <w:num w:numId="17" w16cid:durableId="1150562647">
    <w:abstractNumId w:val="15"/>
  </w:num>
  <w:num w:numId="18" w16cid:durableId="1864056808">
    <w:abstractNumId w:val="1"/>
  </w:num>
  <w:num w:numId="19" w16cid:durableId="311569315">
    <w:abstractNumId w:val="2"/>
  </w:num>
  <w:num w:numId="20" w16cid:durableId="708843444">
    <w:abstractNumId w:val="20"/>
  </w:num>
  <w:num w:numId="21" w16cid:durableId="362563193">
    <w:abstractNumId w:val="21"/>
  </w:num>
  <w:num w:numId="22" w16cid:durableId="2142532407">
    <w:abstractNumId w:val="10"/>
  </w:num>
  <w:num w:numId="23" w16cid:durableId="1416169672">
    <w:abstractNumId w:val="0"/>
  </w:num>
  <w:num w:numId="24" w16cid:durableId="254244851">
    <w:abstractNumId w:val="11"/>
  </w:num>
  <w:num w:numId="25" w16cid:durableId="1219705156">
    <w:abstractNumId w:val="16"/>
  </w:num>
  <w:num w:numId="26" w16cid:durableId="113791327">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588"/>
    <w:rsid w:val="00000720"/>
    <w:rsid w:val="000019C7"/>
    <w:rsid w:val="000021C4"/>
    <w:rsid w:val="00002574"/>
    <w:rsid w:val="000031E4"/>
    <w:rsid w:val="000043C9"/>
    <w:rsid w:val="000056EB"/>
    <w:rsid w:val="00005B2C"/>
    <w:rsid w:val="00005F69"/>
    <w:rsid w:val="00006837"/>
    <w:rsid w:val="000070EC"/>
    <w:rsid w:val="000072BA"/>
    <w:rsid w:val="000074FD"/>
    <w:rsid w:val="00007547"/>
    <w:rsid w:val="0000773D"/>
    <w:rsid w:val="00010381"/>
    <w:rsid w:val="00010964"/>
    <w:rsid w:val="0001119F"/>
    <w:rsid w:val="00013913"/>
    <w:rsid w:val="00013D3B"/>
    <w:rsid w:val="00013F98"/>
    <w:rsid w:val="0001427B"/>
    <w:rsid w:val="00015EF5"/>
    <w:rsid w:val="0001738C"/>
    <w:rsid w:val="00017BA9"/>
    <w:rsid w:val="00017F5F"/>
    <w:rsid w:val="00020050"/>
    <w:rsid w:val="0002046D"/>
    <w:rsid w:val="0002123F"/>
    <w:rsid w:val="000219FD"/>
    <w:rsid w:val="00022440"/>
    <w:rsid w:val="000265D9"/>
    <w:rsid w:val="000305EF"/>
    <w:rsid w:val="00030785"/>
    <w:rsid w:val="0003091E"/>
    <w:rsid w:val="00030A8F"/>
    <w:rsid w:val="00030AFA"/>
    <w:rsid w:val="00032D59"/>
    <w:rsid w:val="00032F12"/>
    <w:rsid w:val="00033CA9"/>
    <w:rsid w:val="00034BE9"/>
    <w:rsid w:val="0003511B"/>
    <w:rsid w:val="000359C2"/>
    <w:rsid w:val="0003640F"/>
    <w:rsid w:val="0003657B"/>
    <w:rsid w:val="000366BA"/>
    <w:rsid w:val="0003748D"/>
    <w:rsid w:val="0003778A"/>
    <w:rsid w:val="00040291"/>
    <w:rsid w:val="0004073E"/>
    <w:rsid w:val="0004075E"/>
    <w:rsid w:val="00040A53"/>
    <w:rsid w:val="00040C17"/>
    <w:rsid w:val="00040CA3"/>
    <w:rsid w:val="00041125"/>
    <w:rsid w:val="00041E58"/>
    <w:rsid w:val="00042361"/>
    <w:rsid w:val="0004256D"/>
    <w:rsid w:val="0004256E"/>
    <w:rsid w:val="00043275"/>
    <w:rsid w:val="00043727"/>
    <w:rsid w:val="000444DC"/>
    <w:rsid w:val="0004654D"/>
    <w:rsid w:val="00046D00"/>
    <w:rsid w:val="000470D9"/>
    <w:rsid w:val="00047285"/>
    <w:rsid w:val="00047E93"/>
    <w:rsid w:val="00050212"/>
    <w:rsid w:val="00050776"/>
    <w:rsid w:val="00050815"/>
    <w:rsid w:val="00050C58"/>
    <w:rsid w:val="00050D0D"/>
    <w:rsid w:val="00050D66"/>
    <w:rsid w:val="00050D9C"/>
    <w:rsid w:val="00051329"/>
    <w:rsid w:val="000517B1"/>
    <w:rsid w:val="000537B3"/>
    <w:rsid w:val="00054917"/>
    <w:rsid w:val="00054B5B"/>
    <w:rsid w:val="0005524F"/>
    <w:rsid w:val="000559C0"/>
    <w:rsid w:val="00055E67"/>
    <w:rsid w:val="00056353"/>
    <w:rsid w:val="000567D8"/>
    <w:rsid w:val="00056B31"/>
    <w:rsid w:val="00057EDB"/>
    <w:rsid w:val="00060238"/>
    <w:rsid w:val="00060A91"/>
    <w:rsid w:val="000612A9"/>
    <w:rsid w:val="00061929"/>
    <w:rsid w:val="00061B0B"/>
    <w:rsid w:val="0006346F"/>
    <w:rsid w:val="00064E6B"/>
    <w:rsid w:val="00065583"/>
    <w:rsid w:val="00066BFA"/>
    <w:rsid w:val="000705AF"/>
    <w:rsid w:val="00070D66"/>
    <w:rsid w:val="00072183"/>
    <w:rsid w:val="00072300"/>
    <w:rsid w:val="00073376"/>
    <w:rsid w:val="000734F3"/>
    <w:rsid w:val="00073825"/>
    <w:rsid w:val="00073CC9"/>
    <w:rsid w:val="000744A0"/>
    <w:rsid w:val="00074AFF"/>
    <w:rsid w:val="00076385"/>
    <w:rsid w:val="00077AFD"/>
    <w:rsid w:val="00077DD8"/>
    <w:rsid w:val="00077F22"/>
    <w:rsid w:val="00077F39"/>
    <w:rsid w:val="00081531"/>
    <w:rsid w:val="00081E8C"/>
    <w:rsid w:val="00082ABC"/>
    <w:rsid w:val="000835C5"/>
    <w:rsid w:val="000839ED"/>
    <w:rsid w:val="00085C62"/>
    <w:rsid w:val="000863C2"/>
    <w:rsid w:val="00087342"/>
    <w:rsid w:val="00087BD8"/>
    <w:rsid w:val="00090729"/>
    <w:rsid w:val="000908E8"/>
    <w:rsid w:val="00090DAC"/>
    <w:rsid w:val="00091942"/>
    <w:rsid w:val="00091FD2"/>
    <w:rsid w:val="00092C7B"/>
    <w:rsid w:val="00092CF0"/>
    <w:rsid w:val="0009355F"/>
    <w:rsid w:val="000941D4"/>
    <w:rsid w:val="00094FDD"/>
    <w:rsid w:val="000962DF"/>
    <w:rsid w:val="000970E3"/>
    <w:rsid w:val="00097B56"/>
    <w:rsid w:val="00097FEB"/>
    <w:rsid w:val="000A0892"/>
    <w:rsid w:val="000A0C42"/>
    <w:rsid w:val="000A1127"/>
    <w:rsid w:val="000A12FD"/>
    <w:rsid w:val="000A173D"/>
    <w:rsid w:val="000A1886"/>
    <w:rsid w:val="000A1E7F"/>
    <w:rsid w:val="000A1FEB"/>
    <w:rsid w:val="000A26D3"/>
    <w:rsid w:val="000A2710"/>
    <w:rsid w:val="000A2FE7"/>
    <w:rsid w:val="000A30C2"/>
    <w:rsid w:val="000A479F"/>
    <w:rsid w:val="000A5086"/>
    <w:rsid w:val="000A5788"/>
    <w:rsid w:val="000A580D"/>
    <w:rsid w:val="000A585B"/>
    <w:rsid w:val="000A65B2"/>
    <w:rsid w:val="000A6CC7"/>
    <w:rsid w:val="000B0712"/>
    <w:rsid w:val="000B072A"/>
    <w:rsid w:val="000B0915"/>
    <w:rsid w:val="000B0F2B"/>
    <w:rsid w:val="000B12DC"/>
    <w:rsid w:val="000B1A1C"/>
    <w:rsid w:val="000B2007"/>
    <w:rsid w:val="000B283C"/>
    <w:rsid w:val="000B2C14"/>
    <w:rsid w:val="000B37E7"/>
    <w:rsid w:val="000B3B55"/>
    <w:rsid w:val="000B4F5D"/>
    <w:rsid w:val="000B6338"/>
    <w:rsid w:val="000B64E2"/>
    <w:rsid w:val="000B7EAE"/>
    <w:rsid w:val="000C0342"/>
    <w:rsid w:val="000C10DB"/>
    <w:rsid w:val="000C1633"/>
    <w:rsid w:val="000C221A"/>
    <w:rsid w:val="000C2961"/>
    <w:rsid w:val="000C456B"/>
    <w:rsid w:val="000C47C4"/>
    <w:rsid w:val="000C57FB"/>
    <w:rsid w:val="000C5CA4"/>
    <w:rsid w:val="000C64D1"/>
    <w:rsid w:val="000C70A2"/>
    <w:rsid w:val="000C79B8"/>
    <w:rsid w:val="000C7F05"/>
    <w:rsid w:val="000D044C"/>
    <w:rsid w:val="000D0713"/>
    <w:rsid w:val="000D0AAD"/>
    <w:rsid w:val="000D0BC9"/>
    <w:rsid w:val="000D289A"/>
    <w:rsid w:val="000D2D27"/>
    <w:rsid w:val="000D30BA"/>
    <w:rsid w:val="000D3946"/>
    <w:rsid w:val="000D4174"/>
    <w:rsid w:val="000D4793"/>
    <w:rsid w:val="000D5B56"/>
    <w:rsid w:val="000D6A2C"/>
    <w:rsid w:val="000D7660"/>
    <w:rsid w:val="000D77DA"/>
    <w:rsid w:val="000D79F3"/>
    <w:rsid w:val="000D7A8F"/>
    <w:rsid w:val="000E027E"/>
    <w:rsid w:val="000E1662"/>
    <w:rsid w:val="000E20AC"/>
    <w:rsid w:val="000E20E5"/>
    <w:rsid w:val="000E27DC"/>
    <w:rsid w:val="000E2AAC"/>
    <w:rsid w:val="000E2E06"/>
    <w:rsid w:val="000E3634"/>
    <w:rsid w:val="000E463D"/>
    <w:rsid w:val="000E4F6C"/>
    <w:rsid w:val="000E56DB"/>
    <w:rsid w:val="000E64A9"/>
    <w:rsid w:val="000E6AF4"/>
    <w:rsid w:val="000E70A2"/>
    <w:rsid w:val="000E7459"/>
    <w:rsid w:val="000E7B58"/>
    <w:rsid w:val="000F05FE"/>
    <w:rsid w:val="000F070F"/>
    <w:rsid w:val="000F2E20"/>
    <w:rsid w:val="000F320E"/>
    <w:rsid w:val="000F53AC"/>
    <w:rsid w:val="000F6661"/>
    <w:rsid w:val="000F6664"/>
    <w:rsid w:val="001001CB"/>
    <w:rsid w:val="00101A7E"/>
    <w:rsid w:val="00102472"/>
    <w:rsid w:val="00103E35"/>
    <w:rsid w:val="00105D15"/>
    <w:rsid w:val="001060D3"/>
    <w:rsid w:val="0010615E"/>
    <w:rsid w:val="001069CE"/>
    <w:rsid w:val="00106D21"/>
    <w:rsid w:val="00110073"/>
    <w:rsid w:val="00111701"/>
    <w:rsid w:val="001139D4"/>
    <w:rsid w:val="0011413B"/>
    <w:rsid w:val="00114182"/>
    <w:rsid w:val="00114638"/>
    <w:rsid w:val="00114651"/>
    <w:rsid w:val="00115233"/>
    <w:rsid w:val="0011689A"/>
    <w:rsid w:val="00117083"/>
    <w:rsid w:val="001171C5"/>
    <w:rsid w:val="001172CB"/>
    <w:rsid w:val="0011744F"/>
    <w:rsid w:val="00117585"/>
    <w:rsid w:val="00117FCB"/>
    <w:rsid w:val="00120055"/>
    <w:rsid w:val="00120146"/>
    <w:rsid w:val="00120A30"/>
    <w:rsid w:val="00122E76"/>
    <w:rsid w:val="001234E5"/>
    <w:rsid w:val="00123C63"/>
    <w:rsid w:val="00125077"/>
    <w:rsid w:val="0012637F"/>
    <w:rsid w:val="00126625"/>
    <w:rsid w:val="00126819"/>
    <w:rsid w:val="00127166"/>
    <w:rsid w:val="00127CE1"/>
    <w:rsid w:val="0013001D"/>
    <w:rsid w:val="001301C4"/>
    <w:rsid w:val="001306EE"/>
    <w:rsid w:val="001313E6"/>
    <w:rsid w:val="00131869"/>
    <w:rsid w:val="00132E7C"/>
    <w:rsid w:val="00133B69"/>
    <w:rsid w:val="00133CB2"/>
    <w:rsid w:val="00134AFE"/>
    <w:rsid w:val="00135854"/>
    <w:rsid w:val="00136FE9"/>
    <w:rsid w:val="00141B4C"/>
    <w:rsid w:val="00141C96"/>
    <w:rsid w:val="001427A8"/>
    <w:rsid w:val="00142FAD"/>
    <w:rsid w:val="0014358C"/>
    <w:rsid w:val="00143CB2"/>
    <w:rsid w:val="00143F1F"/>
    <w:rsid w:val="0014420B"/>
    <w:rsid w:val="001443BB"/>
    <w:rsid w:val="0014476A"/>
    <w:rsid w:val="001450A6"/>
    <w:rsid w:val="001455CE"/>
    <w:rsid w:val="00145E54"/>
    <w:rsid w:val="001464E9"/>
    <w:rsid w:val="00146620"/>
    <w:rsid w:val="001466C8"/>
    <w:rsid w:val="0014691E"/>
    <w:rsid w:val="001472F0"/>
    <w:rsid w:val="00147852"/>
    <w:rsid w:val="00147B3D"/>
    <w:rsid w:val="00147D2F"/>
    <w:rsid w:val="00147E9A"/>
    <w:rsid w:val="00150771"/>
    <w:rsid w:val="001510D0"/>
    <w:rsid w:val="00152306"/>
    <w:rsid w:val="00152C17"/>
    <w:rsid w:val="001537A8"/>
    <w:rsid w:val="00153908"/>
    <w:rsid w:val="0015440D"/>
    <w:rsid w:val="00154B00"/>
    <w:rsid w:val="001557A4"/>
    <w:rsid w:val="001558EE"/>
    <w:rsid w:val="00156185"/>
    <w:rsid w:val="0016021C"/>
    <w:rsid w:val="001605E9"/>
    <w:rsid w:val="00161E69"/>
    <w:rsid w:val="001624A7"/>
    <w:rsid w:val="00162627"/>
    <w:rsid w:val="00163C75"/>
    <w:rsid w:val="00163F2E"/>
    <w:rsid w:val="001646A5"/>
    <w:rsid w:val="00166A9C"/>
    <w:rsid w:val="00166B84"/>
    <w:rsid w:val="00166F32"/>
    <w:rsid w:val="00167C71"/>
    <w:rsid w:val="001707A5"/>
    <w:rsid w:val="00171278"/>
    <w:rsid w:val="00171825"/>
    <w:rsid w:val="00171C0F"/>
    <w:rsid w:val="00172F82"/>
    <w:rsid w:val="001732A6"/>
    <w:rsid w:val="0017411C"/>
    <w:rsid w:val="001745CD"/>
    <w:rsid w:val="0017493B"/>
    <w:rsid w:val="0017653A"/>
    <w:rsid w:val="00176DAD"/>
    <w:rsid w:val="00177A0E"/>
    <w:rsid w:val="00177C62"/>
    <w:rsid w:val="00181101"/>
    <w:rsid w:val="00181CFC"/>
    <w:rsid w:val="00182249"/>
    <w:rsid w:val="001825E6"/>
    <w:rsid w:val="0018373B"/>
    <w:rsid w:val="00183FD6"/>
    <w:rsid w:val="001853E1"/>
    <w:rsid w:val="00186085"/>
    <w:rsid w:val="001876C2"/>
    <w:rsid w:val="00191833"/>
    <w:rsid w:val="001938FA"/>
    <w:rsid w:val="00194B15"/>
    <w:rsid w:val="0019566A"/>
    <w:rsid w:val="0019697B"/>
    <w:rsid w:val="0019751E"/>
    <w:rsid w:val="00197B0A"/>
    <w:rsid w:val="001A0142"/>
    <w:rsid w:val="001A05AC"/>
    <w:rsid w:val="001A0E80"/>
    <w:rsid w:val="001A1B5F"/>
    <w:rsid w:val="001A1D54"/>
    <w:rsid w:val="001A1E41"/>
    <w:rsid w:val="001A3EA0"/>
    <w:rsid w:val="001A3F4D"/>
    <w:rsid w:val="001A6355"/>
    <w:rsid w:val="001A6B98"/>
    <w:rsid w:val="001A740C"/>
    <w:rsid w:val="001A7C9B"/>
    <w:rsid w:val="001A7F61"/>
    <w:rsid w:val="001B114D"/>
    <w:rsid w:val="001B11E2"/>
    <w:rsid w:val="001B2094"/>
    <w:rsid w:val="001B2A6A"/>
    <w:rsid w:val="001B2D83"/>
    <w:rsid w:val="001B2F3B"/>
    <w:rsid w:val="001B4CBD"/>
    <w:rsid w:val="001B5047"/>
    <w:rsid w:val="001B55B8"/>
    <w:rsid w:val="001B63FA"/>
    <w:rsid w:val="001B6661"/>
    <w:rsid w:val="001B713F"/>
    <w:rsid w:val="001B7BD9"/>
    <w:rsid w:val="001B7F34"/>
    <w:rsid w:val="001B7F67"/>
    <w:rsid w:val="001C00E0"/>
    <w:rsid w:val="001C10E7"/>
    <w:rsid w:val="001C204F"/>
    <w:rsid w:val="001C25AB"/>
    <w:rsid w:val="001C3611"/>
    <w:rsid w:val="001C46ED"/>
    <w:rsid w:val="001C5063"/>
    <w:rsid w:val="001C7131"/>
    <w:rsid w:val="001C7915"/>
    <w:rsid w:val="001C79DD"/>
    <w:rsid w:val="001D0793"/>
    <w:rsid w:val="001D0D94"/>
    <w:rsid w:val="001D1D75"/>
    <w:rsid w:val="001D3478"/>
    <w:rsid w:val="001D3AC7"/>
    <w:rsid w:val="001D442B"/>
    <w:rsid w:val="001D4836"/>
    <w:rsid w:val="001D4A11"/>
    <w:rsid w:val="001D6B5D"/>
    <w:rsid w:val="001D6FED"/>
    <w:rsid w:val="001D7399"/>
    <w:rsid w:val="001D7846"/>
    <w:rsid w:val="001E0E06"/>
    <w:rsid w:val="001E0FE4"/>
    <w:rsid w:val="001E1E5B"/>
    <w:rsid w:val="001E231A"/>
    <w:rsid w:val="001E26F5"/>
    <w:rsid w:val="001E3227"/>
    <w:rsid w:val="001E3232"/>
    <w:rsid w:val="001E357E"/>
    <w:rsid w:val="001E36D1"/>
    <w:rsid w:val="001E3C03"/>
    <w:rsid w:val="001E46FD"/>
    <w:rsid w:val="001E4A63"/>
    <w:rsid w:val="001E53F3"/>
    <w:rsid w:val="001E5D2F"/>
    <w:rsid w:val="001E65AE"/>
    <w:rsid w:val="001E79E8"/>
    <w:rsid w:val="001F0A2C"/>
    <w:rsid w:val="001F1347"/>
    <w:rsid w:val="001F1358"/>
    <w:rsid w:val="001F1AEB"/>
    <w:rsid w:val="001F400A"/>
    <w:rsid w:val="001F423C"/>
    <w:rsid w:val="001F4261"/>
    <w:rsid w:val="001F5032"/>
    <w:rsid w:val="001F51D7"/>
    <w:rsid w:val="001F56D2"/>
    <w:rsid w:val="001F56FD"/>
    <w:rsid w:val="001F58FA"/>
    <w:rsid w:val="001F61EB"/>
    <w:rsid w:val="001F6CA0"/>
    <w:rsid w:val="001F7758"/>
    <w:rsid w:val="00200336"/>
    <w:rsid w:val="002010EB"/>
    <w:rsid w:val="00203306"/>
    <w:rsid w:val="00203D89"/>
    <w:rsid w:val="00203EB3"/>
    <w:rsid w:val="00205EBD"/>
    <w:rsid w:val="00205FD8"/>
    <w:rsid w:val="00206A50"/>
    <w:rsid w:val="00206E6B"/>
    <w:rsid w:val="00207F4E"/>
    <w:rsid w:val="00210605"/>
    <w:rsid w:val="00210B37"/>
    <w:rsid w:val="00210FA4"/>
    <w:rsid w:val="002111B0"/>
    <w:rsid w:val="00211564"/>
    <w:rsid w:val="002149B0"/>
    <w:rsid w:val="00214F6E"/>
    <w:rsid w:val="0021644E"/>
    <w:rsid w:val="00216F8B"/>
    <w:rsid w:val="00221124"/>
    <w:rsid w:val="002213B2"/>
    <w:rsid w:val="00221DE8"/>
    <w:rsid w:val="00222369"/>
    <w:rsid w:val="002225FF"/>
    <w:rsid w:val="00222766"/>
    <w:rsid w:val="00222FCD"/>
    <w:rsid w:val="002236B1"/>
    <w:rsid w:val="00223F4A"/>
    <w:rsid w:val="00225998"/>
    <w:rsid w:val="00225AFA"/>
    <w:rsid w:val="00226222"/>
    <w:rsid w:val="002264E7"/>
    <w:rsid w:val="002266F0"/>
    <w:rsid w:val="00226D91"/>
    <w:rsid w:val="0022770F"/>
    <w:rsid w:val="00230CBB"/>
    <w:rsid w:val="00231F84"/>
    <w:rsid w:val="00231FE7"/>
    <w:rsid w:val="00232125"/>
    <w:rsid w:val="0023213A"/>
    <w:rsid w:val="00233A78"/>
    <w:rsid w:val="00236048"/>
    <w:rsid w:val="002362B7"/>
    <w:rsid w:val="002373D8"/>
    <w:rsid w:val="0024125A"/>
    <w:rsid w:val="002416FE"/>
    <w:rsid w:val="00241A87"/>
    <w:rsid w:val="00242111"/>
    <w:rsid w:val="002422C2"/>
    <w:rsid w:val="002422D9"/>
    <w:rsid w:val="0024262D"/>
    <w:rsid w:val="0024269C"/>
    <w:rsid w:val="00243482"/>
    <w:rsid w:val="00243A60"/>
    <w:rsid w:val="002443EF"/>
    <w:rsid w:val="00245304"/>
    <w:rsid w:val="00246A0E"/>
    <w:rsid w:val="00247401"/>
    <w:rsid w:val="00247D02"/>
    <w:rsid w:val="002513CB"/>
    <w:rsid w:val="0025287B"/>
    <w:rsid w:val="002542EF"/>
    <w:rsid w:val="00255005"/>
    <w:rsid w:val="002566BC"/>
    <w:rsid w:val="00256EC4"/>
    <w:rsid w:val="00257E41"/>
    <w:rsid w:val="00260845"/>
    <w:rsid w:val="00260A32"/>
    <w:rsid w:val="002610F5"/>
    <w:rsid w:val="00262F8C"/>
    <w:rsid w:val="00263031"/>
    <w:rsid w:val="002637AD"/>
    <w:rsid w:val="00263A49"/>
    <w:rsid w:val="002648F0"/>
    <w:rsid w:val="0026563B"/>
    <w:rsid w:val="002657BD"/>
    <w:rsid w:val="0026619D"/>
    <w:rsid w:val="00267910"/>
    <w:rsid w:val="00270A1E"/>
    <w:rsid w:val="00271A07"/>
    <w:rsid w:val="00272EA9"/>
    <w:rsid w:val="00273214"/>
    <w:rsid w:val="00274287"/>
    <w:rsid w:val="002743B6"/>
    <w:rsid w:val="00274B43"/>
    <w:rsid w:val="002756AA"/>
    <w:rsid w:val="002769CF"/>
    <w:rsid w:val="0027758C"/>
    <w:rsid w:val="00277E96"/>
    <w:rsid w:val="0028107D"/>
    <w:rsid w:val="00281881"/>
    <w:rsid w:val="00282A54"/>
    <w:rsid w:val="00282C88"/>
    <w:rsid w:val="002842DC"/>
    <w:rsid w:val="002846B6"/>
    <w:rsid w:val="00285DFC"/>
    <w:rsid w:val="00286B5B"/>
    <w:rsid w:val="00286DDB"/>
    <w:rsid w:val="00287C4A"/>
    <w:rsid w:val="00287F9D"/>
    <w:rsid w:val="00290649"/>
    <w:rsid w:val="00290B5A"/>
    <w:rsid w:val="00291011"/>
    <w:rsid w:val="0029147C"/>
    <w:rsid w:val="00291537"/>
    <w:rsid w:val="00292363"/>
    <w:rsid w:val="00292AAA"/>
    <w:rsid w:val="00293710"/>
    <w:rsid w:val="00294F42"/>
    <w:rsid w:val="00295426"/>
    <w:rsid w:val="002A136A"/>
    <w:rsid w:val="002A1F81"/>
    <w:rsid w:val="002A2D9E"/>
    <w:rsid w:val="002A3595"/>
    <w:rsid w:val="002A3F0C"/>
    <w:rsid w:val="002A4466"/>
    <w:rsid w:val="002A470B"/>
    <w:rsid w:val="002A4EC2"/>
    <w:rsid w:val="002A5335"/>
    <w:rsid w:val="002A5834"/>
    <w:rsid w:val="002A5B8F"/>
    <w:rsid w:val="002A6E9A"/>
    <w:rsid w:val="002A74D8"/>
    <w:rsid w:val="002A7519"/>
    <w:rsid w:val="002A784B"/>
    <w:rsid w:val="002B07C0"/>
    <w:rsid w:val="002B0F60"/>
    <w:rsid w:val="002B0F96"/>
    <w:rsid w:val="002B1D04"/>
    <w:rsid w:val="002B2061"/>
    <w:rsid w:val="002B272E"/>
    <w:rsid w:val="002B314B"/>
    <w:rsid w:val="002B3E2B"/>
    <w:rsid w:val="002B40A0"/>
    <w:rsid w:val="002B4358"/>
    <w:rsid w:val="002B4D1D"/>
    <w:rsid w:val="002B4FE7"/>
    <w:rsid w:val="002B5817"/>
    <w:rsid w:val="002B5B1E"/>
    <w:rsid w:val="002B5DD2"/>
    <w:rsid w:val="002B6D4B"/>
    <w:rsid w:val="002B77BA"/>
    <w:rsid w:val="002B7F66"/>
    <w:rsid w:val="002C0B49"/>
    <w:rsid w:val="002C1F16"/>
    <w:rsid w:val="002C2B72"/>
    <w:rsid w:val="002C2E08"/>
    <w:rsid w:val="002C2FCD"/>
    <w:rsid w:val="002C3D18"/>
    <w:rsid w:val="002C468F"/>
    <w:rsid w:val="002C4900"/>
    <w:rsid w:val="002C6129"/>
    <w:rsid w:val="002C7063"/>
    <w:rsid w:val="002C7134"/>
    <w:rsid w:val="002C74DD"/>
    <w:rsid w:val="002D212C"/>
    <w:rsid w:val="002D3180"/>
    <w:rsid w:val="002D3FCF"/>
    <w:rsid w:val="002D456D"/>
    <w:rsid w:val="002D47CA"/>
    <w:rsid w:val="002D50DD"/>
    <w:rsid w:val="002D521C"/>
    <w:rsid w:val="002D5C21"/>
    <w:rsid w:val="002D60A3"/>
    <w:rsid w:val="002D7A86"/>
    <w:rsid w:val="002D7E46"/>
    <w:rsid w:val="002E203D"/>
    <w:rsid w:val="002E3257"/>
    <w:rsid w:val="002E367E"/>
    <w:rsid w:val="002E5788"/>
    <w:rsid w:val="002E64AB"/>
    <w:rsid w:val="002F07BB"/>
    <w:rsid w:val="002F08DF"/>
    <w:rsid w:val="002F090B"/>
    <w:rsid w:val="002F1174"/>
    <w:rsid w:val="002F3F2E"/>
    <w:rsid w:val="002F46CD"/>
    <w:rsid w:val="002F4C44"/>
    <w:rsid w:val="002F4CD2"/>
    <w:rsid w:val="002F519E"/>
    <w:rsid w:val="002F66D6"/>
    <w:rsid w:val="002F70A6"/>
    <w:rsid w:val="002F7578"/>
    <w:rsid w:val="002F7AC1"/>
    <w:rsid w:val="002F7F72"/>
    <w:rsid w:val="00300B4C"/>
    <w:rsid w:val="00301F62"/>
    <w:rsid w:val="003036E7"/>
    <w:rsid w:val="003039E3"/>
    <w:rsid w:val="00303AAA"/>
    <w:rsid w:val="00303FA0"/>
    <w:rsid w:val="0030475C"/>
    <w:rsid w:val="00306855"/>
    <w:rsid w:val="00306D32"/>
    <w:rsid w:val="00306D65"/>
    <w:rsid w:val="00307366"/>
    <w:rsid w:val="00307BFC"/>
    <w:rsid w:val="003109A5"/>
    <w:rsid w:val="00310C32"/>
    <w:rsid w:val="00312C27"/>
    <w:rsid w:val="003133BB"/>
    <w:rsid w:val="00314D6A"/>
    <w:rsid w:val="00314F4C"/>
    <w:rsid w:val="00315256"/>
    <w:rsid w:val="00315DC4"/>
    <w:rsid w:val="00316008"/>
    <w:rsid w:val="0031685D"/>
    <w:rsid w:val="00317F5C"/>
    <w:rsid w:val="0032061C"/>
    <w:rsid w:val="0032078B"/>
    <w:rsid w:val="00321AD0"/>
    <w:rsid w:val="0032330D"/>
    <w:rsid w:val="00323C91"/>
    <w:rsid w:val="00324120"/>
    <w:rsid w:val="00324398"/>
    <w:rsid w:val="00324CCB"/>
    <w:rsid w:val="003259C7"/>
    <w:rsid w:val="00325BDD"/>
    <w:rsid w:val="003261B4"/>
    <w:rsid w:val="00326414"/>
    <w:rsid w:val="003279A7"/>
    <w:rsid w:val="003279E7"/>
    <w:rsid w:val="003304BC"/>
    <w:rsid w:val="003312E2"/>
    <w:rsid w:val="00332C7A"/>
    <w:rsid w:val="00332D9A"/>
    <w:rsid w:val="0033350A"/>
    <w:rsid w:val="003338D9"/>
    <w:rsid w:val="00333FF6"/>
    <w:rsid w:val="00334037"/>
    <w:rsid w:val="003349C5"/>
    <w:rsid w:val="00334B9B"/>
    <w:rsid w:val="003363B3"/>
    <w:rsid w:val="003369CB"/>
    <w:rsid w:val="00336CEC"/>
    <w:rsid w:val="00340A44"/>
    <w:rsid w:val="003419D4"/>
    <w:rsid w:val="0034289F"/>
    <w:rsid w:val="00343B5E"/>
    <w:rsid w:val="0034463A"/>
    <w:rsid w:val="003453D2"/>
    <w:rsid w:val="00345D04"/>
    <w:rsid w:val="003461FC"/>
    <w:rsid w:val="00346AE0"/>
    <w:rsid w:val="00347889"/>
    <w:rsid w:val="00350DAC"/>
    <w:rsid w:val="0035143B"/>
    <w:rsid w:val="00351C8E"/>
    <w:rsid w:val="00355021"/>
    <w:rsid w:val="0035611B"/>
    <w:rsid w:val="00357540"/>
    <w:rsid w:val="0035764B"/>
    <w:rsid w:val="00357A94"/>
    <w:rsid w:val="0036054E"/>
    <w:rsid w:val="003605FB"/>
    <w:rsid w:val="00360753"/>
    <w:rsid w:val="003610C1"/>
    <w:rsid w:val="00361E3F"/>
    <w:rsid w:val="00362A6B"/>
    <w:rsid w:val="00363AA7"/>
    <w:rsid w:val="003642E3"/>
    <w:rsid w:val="003646A0"/>
    <w:rsid w:val="00364ACB"/>
    <w:rsid w:val="003665B3"/>
    <w:rsid w:val="0036691F"/>
    <w:rsid w:val="00366D69"/>
    <w:rsid w:val="0037044C"/>
    <w:rsid w:val="0037046A"/>
    <w:rsid w:val="003705D4"/>
    <w:rsid w:val="0037075D"/>
    <w:rsid w:val="00371016"/>
    <w:rsid w:val="003715C0"/>
    <w:rsid w:val="00371902"/>
    <w:rsid w:val="00371B68"/>
    <w:rsid w:val="0037285B"/>
    <w:rsid w:val="00372F27"/>
    <w:rsid w:val="00374642"/>
    <w:rsid w:val="0037530D"/>
    <w:rsid w:val="00375536"/>
    <w:rsid w:val="00375B8E"/>
    <w:rsid w:val="00375C8A"/>
    <w:rsid w:val="00375EC1"/>
    <w:rsid w:val="003763DE"/>
    <w:rsid w:val="00376450"/>
    <w:rsid w:val="00376A53"/>
    <w:rsid w:val="003772EB"/>
    <w:rsid w:val="00377890"/>
    <w:rsid w:val="00377B99"/>
    <w:rsid w:val="00377DFD"/>
    <w:rsid w:val="00380747"/>
    <w:rsid w:val="003816C2"/>
    <w:rsid w:val="00381FD0"/>
    <w:rsid w:val="003824A7"/>
    <w:rsid w:val="003824F5"/>
    <w:rsid w:val="003841E0"/>
    <w:rsid w:val="003853D0"/>
    <w:rsid w:val="00385DE6"/>
    <w:rsid w:val="003863C5"/>
    <w:rsid w:val="00386C4A"/>
    <w:rsid w:val="00387725"/>
    <w:rsid w:val="003877CF"/>
    <w:rsid w:val="00387B61"/>
    <w:rsid w:val="00387F72"/>
    <w:rsid w:val="00390982"/>
    <w:rsid w:val="003914AC"/>
    <w:rsid w:val="0039307C"/>
    <w:rsid w:val="00393C42"/>
    <w:rsid w:val="00395B22"/>
    <w:rsid w:val="00396102"/>
    <w:rsid w:val="0039660A"/>
    <w:rsid w:val="003975B7"/>
    <w:rsid w:val="003A0FA6"/>
    <w:rsid w:val="003A138F"/>
    <w:rsid w:val="003A1C35"/>
    <w:rsid w:val="003A28D8"/>
    <w:rsid w:val="003A2F57"/>
    <w:rsid w:val="003A338A"/>
    <w:rsid w:val="003A34C7"/>
    <w:rsid w:val="003A3CDE"/>
    <w:rsid w:val="003A45FE"/>
    <w:rsid w:val="003A4A8C"/>
    <w:rsid w:val="003A58CF"/>
    <w:rsid w:val="003A6177"/>
    <w:rsid w:val="003B01B6"/>
    <w:rsid w:val="003B0984"/>
    <w:rsid w:val="003B0B85"/>
    <w:rsid w:val="003B0C7A"/>
    <w:rsid w:val="003B10EE"/>
    <w:rsid w:val="003B19F4"/>
    <w:rsid w:val="003B2184"/>
    <w:rsid w:val="003B2448"/>
    <w:rsid w:val="003B2490"/>
    <w:rsid w:val="003B26C5"/>
    <w:rsid w:val="003B275A"/>
    <w:rsid w:val="003B40BD"/>
    <w:rsid w:val="003B5771"/>
    <w:rsid w:val="003B5B2C"/>
    <w:rsid w:val="003B7809"/>
    <w:rsid w:val="003B783F"/>
    <w:rsid w:val="003B7D58"/>
    <w:rsid w:val="003C0824"/>
    <w:rsid w:val="003C0A6D"/>
    <w:rsid w:val="003C0C95"/>
    <w:rsid w:val="003C0E47"/>
    <w:rsid w:val="003C1779"/>
    <w:rsid w:val="003C3F31"/>
    <w:rsid w:val="003C4165"/>
    <w:rsid w:val="003C4C09"/>
    <w:rsid w:val="003C4EB6"/>
    <w:rsid w:val="003C56CB"/>
    <w:rsid w:val="003C5A51"/>
    <w:rsid w:val="003C5D7A"/>
    <w:rsid w:val="003C680E"/>
    <w:rsid w:val="003C683D"/>
    <w:rsid w:val="003C6C90"/>
    <w:rsid w:val="003C6F4F"/>
    <w:rsid w:val="003C721B"/>
    <w:rsid w:val="003C7688"/>
    <w:rsid w:val="003C7D69"/>
    <w:rsid w:val="003C7DE6"/>
    <w:rsid w:val="003C7DFB"/>
    <w:rsid w:val="003D05CF"/>
    <w:rsid w:val="003D12D9"/>
    <w:rsid w:val="003D1C19"/>
    <w:rsid w:val="003D1CF8"/>
    <w:rsid w:val="003D1D6B"/>
    <w:rsid w:val="003D3405"/>
    <w:rsid w:val="003D4DA7"/>
    <w:rsid w:val="003D5161"/>
    <w:rsid w:val="003D56B8"/>
    <w:rsid w:val="003D56CE"/>
    <w:rsid w:val="003D5CE9"/>
    <w:rsid w:val="003D5F17"/>
    <w:rsid w:val="003D6066"/>
    <w:rsid w:val="003D68F8"/>
    <w:rsid w:val="003D73BB"/>
    <w:rsid w:val="003E043F"/>
    <w:rsid w:val="003E106D"/>
    <w:rsid w:val="003E1546"/>
    <w:rsid w:val="003E1B6D"/>
    <w:rsid w:val="003E1F6D"/>
    <w:rsid w:val="003E46A2"/>
    <w:rsid w:val="003E6751"/>
    <w:rsid w:val="003E6B00"/>
    <w:rsid w:val="003E7056"/>
    <w:rsid w:val="003E7972"/>
    <w:rsid w:val="003F0991"/>
    <w:rsid w:val="003F1299"/>
    <w:rsid w:val="003F3B86"/>
    <w:rsid w:val="003F44D0"/>
    <w:rsid w:val="003F4AA2"/>
    <w:rsid w:val="003F6BAE"/>
    <w:rsid w:val="003F73C1"/>
    <w:rsid w:val="00400480"/>
    <w:rsid w:val="004005CE"/>
    <w:rsid w:val="0040093E"/>
    <w:rsid w:val="00400BCD"/>
    <w:rsid w:val="00402972"/>
    <w:rsid w:val="0040385F"/>
    <w:rsid w:val="00403A60"/>
    <w:rsid w:val="00403F4E"/>
    <w:rsid w:val="00404B10"/>
    <w:rsid w:val="00406B68"/>
    <w:rsid w:val="004077A0"/>
    <w:rsid w:val="00407E9B"/>
    <w:rsid w:val="00411501"/>
    <w:rsid w:val="0041173E"/>
    <w:rsid w:val="00412069"/>
    <w:rsid w:val="0041222D"/>
    <w:rsid w:val="00412920"/>
    <w:rsid w:val="00412AB9"/>
    <w:rsid w:val="00412B59"/>
    <w:rsid w:val="004132ED"/>
    <w:rsid w:val="0041443D"/>
    <w:rsid w:val="00414AD5"/>
    <w:rsid w:val="00415246"/>
    <w:rsid w:val="00415490"/>
    <w:rsid w:val="004161B9"/>
    <w:rsid w:val="00416EE8"/>
    <w:rsid w:val="004200B9"/>
    <w:rsid w:val="00420FAB"/>
    <w:rsid w:val="004213AF"/>
    <w:rsid w:val="0042157F"/>
    <w:rsid w:val="004225E9"/>
    <w:rsid w:val="00423E9D"/>
    <w:rsid w:val="00424960"/>
    <w:rsid w:val="00424EE4"/>
    <w:rsid w:val="00424F0F"/>
    <w:rsid w:val="0042558B"/>
    <w:rsid w:val="004257D9"/>
    <w:rsid w:val="00425A87"/>
    <w:rsid w:val="00426D96"/>
    <w:rsid w:val="00427E39"/>
    <w:rsid w:val="00431081"/>
    <w:rsid w:val="00431997"/>
    <w:rsid w:val="00432F45"/>
    <w:rsid w:val="00433A22"/>
    <w:rsid w:val="00433A73"/>
    <w:rsid w:val="004351F8"/>
    <w:rsid w:val="00435B2C"/>
    <w:rsid w:val="0043603B"/>
    <w:rsid w:val="00436633"/>
    <w:rsid w:val="004366AE"/>
    <w:rsid w:val="004368D1"/>
    <w:rsid w:val="00437543"/>
    <w:rsid w:val="00440E3F"/>
    <w:rsid w:val="00441BB0"/>
    <w:rsid w:val="0044250B"/>
    <w:rsid w:val="00442E90"/>
    <w:rsid w:val="00443BD5"/>
    <w:rsid w:val="00443E8A"/>
    <w:rsid w:val="00444796"/>
    <w:rsid w:val="00444841"/>
    <w:rsid w:val="004448E7"/>
    <w:rsid w:val="004449D9"/>
    <w:rsid w:val="00444A6B"/>
    <w:rsid w:val="004458AE"/>
    <w:rsid w:val="004458CF"/>
    <w:rsid w:val="004459B3"/>
    <w:rsid w:val="00446079"/>
    <w:rsid w:val="004464D4"/>
    <w:rsid w:val="00446792"/>
    <w:rsid w:val="00447231"/>
    <w:rsid w:val="00447C10"/>
    <w:rsid w:val="00450F78"/>
    <w:rsid w:val="00451262"/>
    <w:rsid w:val="00455028"/>
    <w:rsid w:val="00455C10"/>
    <w:rsid w:val="004567B0"/>
    <w:rsid w:val="004600D0"/>
    <w:rsid w:val="00462235"/>
    <w:rsid w:val="00462907"/>
    <w:rsid w:val="0046412E"/>
    <w:rsid w:val="00464275"/>
    <w:rsid w:val="00466048"/>
    <w:rsid w:val="00466F8A"/>
    <w:rsid w:val="00467324"/>
    <w:rsid w:val="00467370"/>
    <w:rsid w:val="00467AFF"/>
    <w:rsid w:val="004701D4"/>
    <w:rsid w:val="00470BD8"/>
    <w:rsid w:val="00472236"/>
    <w:rsid w:val="004724D6"/>
    <w:rsid w:val="00472801"/>
    <w:rsid w:val="0047508D"/>
    <w:rsid w:val="0047556A"/>
    <w:rsid w:val="00476169"/>
    <w:rsid w:val="00476BE5"/>
    <w:rsid w:val="0048062E"/>
    <w:rsid w:val="00480820"/>
    <w:rsid w:val="0048109F"/>
    <w:rsid w:val="00481AFF"/>
    <w:rsid w:val="00482DF9"/>
    <w:rsid w:val="004835F0"/>
    <w:rsid w:val="00484277"/>
    <w:rsid w:val="0048436A"/>
    <w:rsid w:val="0048562A"/>
    <w:rsid w:val="00485FD1"/>
    <w:rsid w:val="00487428"/>
    <w:rsid w:val="00491348"/>
    <w:rsid w:val="0049137C"/>
    <w:rsid w:val="004923BE"/>
    <w:rsid w:val="0049277A"/>
    <w:rsid w:val="00492A4D"/>
    <w:rsid w:val="0049321A"/>
    <w:rsid w:val="004935D8"/>
    <w:rsid w:val="00493937"/>
    <w:rsid w:val="00493B10"/>
    <w:rsid w:val="004951D7"/>
    <w:rsid w:val="00495D0F"/>
    <w:rsid w:val="004960D2"/>
    <w:rsid w:val="0049674D"/>
    <w:rsid w:val="004A0A58"/>
    <w:rsid w:val="004A1670"/>
    <w:rsid w:val="004A19F9"/>
    <w:rsid w:val="004A2467"/>
    <w:rsid w:val="004A35E5"/>
    <w:rsid w:val="004A3F2C"/>
    <w:rsid w:val="004A425D"/>
    <w:rsid w:val="004A492B"/>
    <w:rsid w:val="004A4931"/>
    <w:rsid w:val="004A4B37"/>
    <w:rsid w:val="004A5377"/>
    <w:rsid w:val="004A5B01"/>
    <w:rsid w:val="004A5EEE"/>
    <w:rsid w:val="004A70AD"/>
    <w:rsid w:val="004A725D"/>
    <w:rsid w:val="004A73E0"/>
    <w:rsid w:val="004A7D71"/>
    <w:rsid w:val="004B0547"/>
    <w:rsid w:val="004B0B74"/>
    <w:rsid w:val="004B0BD2"/>
    <w:rsid w:val="004B2630"/>
    <w:rsid w:val="004B299A"/>
    <w:rsid w:val="004B31EA"/>
    <w:rsid w:val="004B3598"/>
    <w:rsid w:val="004B3C94"/>
    <w:rsid w:val="004B3DC0"/>
    <w:rsid w:val="004B3FEC"/>
    <w:rsid w:val="004B4F82"/>
    <w:rsid w:val="004B5996"/>
    <w:rsid w:val="004B6CBB"/>
    <w:rsid w:val="004B7FC1"/>
    <w:rsid w:val="004B7FF5"/>
    <w:rsid w:val="004C0195"/>
    <w:rsid w:val="004C0C19"/>
    <w:rsid w:val="004C1684"/>
    <w:rsid w:val="004C2E31"/>
    <w:rsid w:val="004C31D2"/>
    <w:rsid w:val="004C38B1"/>
    <w:rsid w:val="004C604F"/>
    <w:rsid w:val="004C6221"/>
    <w:rsid w:val="004D1525"/>
    <w:rsid w:val="004D15AF"/>
    <w:rsid w:val="004D21B5"/>
    <w:rsid w:val="004D22D3"/>
    <w:rsid w:val="004D2EC8"/>
    <w:rsid w:val="004D30E3"/>
    <w:rsid w:val="004D5CDA"/>
    <w:rsid w:val="004D741D"/>
    <w:rsid w:val="004D7688"/>
    <w:rsid w:val="004E0350"/>
    <w:rsid w:val="004E041C"/>
    <w:rsid w:val="004E0986"/>
    <w:rsid w:val="004E0C4A"/>
    <w:rsid w:val="004E12E5"/>
    <w:rsid w:val="004E19A3"/>
    <w:rsid w:val="004E2909"/>
    <w:rsid w:val="004E2928"/>
    <w:rsid w:val="004E2A57"/>
    <w:rsid w:val="004E36FC"/>
    <w:rsid w:val="004E3DF6"/>
    <w:rsid w:val="004E4725"/>
    <w:rsid w:val="004E4887"/>
    <w:rsid w:val="004E5651"/>
    <w:rsid w:val="004E644A"/>
    <w:rsid w:val="004E6FD3"/>
    <w:rsid w:val="004F0B44"/>
    <w:rsid w:val="004F1195"/>
    <w:rsid w:val="004F12CE"/>
    <w:rsid w:val="004F16F6"/>
    <w:rsid w:val="004F1AC7"/>
    <w:rsid w:val="004F1FB6"/>
    <w:rsid w:val="004F4125"/>
    <w:rsid w:val="004F4165"/>
    <w:rsid w:val="004F46C7"/>
    <w:rsid w:val="004F512F"/>
    <w:rsid w:val="004F55E3"/>
    <w:rsid w:val="004F61EC"/>
    <w:rsid w:val="004F760B"/>
    <w:rsid w:val="004F7822"/>
    <w:rsid w:val="00500D75"/>
    <w:rsid w:val="00500E0F"/>
    <w:rsid w:val="00501B30"/>
    <w:rsid w:val="00503406"/>
    <w:rsid w:val="0050350B"/>
    <w:rsid w:val="005054DA"/>
    <w:rsid w:val="00505E73"/>
    <w:rsid w:val="00506BFA"/>
    <w:rsid w:val="00507415"/>
    <w:rsid w:val="00511037"/>
    <w:rsid w:val="005111C1"/>
    <w:rsid w:val="005114B3"/>
    <w:rsid w:val="005114B4"/>
    <w:rsid w:val="00512448"/>
    <w:rsid w:val="005136AB"/>
    <w:rsid w:val="00513932"/>
    <w:rsid w:val="005140CB"/>
    <w:rsid w:val="0051441E"/>
    <w:rsid w:val="00514774"/>
    <w:rsid w:val="00516753"/>
    <w:rsid w:val="00516E56"/>
    <w:rsid w:val="005174FC"/>
    <w:rsid w:val="00517CA3"/>
    <w:rsid w:val="00517FF5"/>
    <w:rsid w:val="00520110"/>
    <w:rsid w:val="005204B3"/>
    <w:rsid w:val="005204E1"/>
    <w:rsid w:val="00520958"/>
    <w:rsid w:val="00520B54"/>
    <w:rsid w:val="00521226"/>
    <w:rsid w:val="005218AE"/>
    <w:rsid w:val="00521C50"/>
    <w:rsid w:val="00522AF7"/>
    <w:rsid w:val="00523005"/>
    <w:rsid w:val="005254FC"/>
    <w:rsid w:val="00526E90"/>
    <w:rsid w:val="00527003"/>
    <w:rsid w:val="00527B79"/>
    <w:rsid w:val="00532017"/>
    <w:rsid w:val="00532C54"/>
    <w:rsid w:val="0053307E"/>
    <w:rsid w:val="0053553C"/>
    <w:rsid w:val="00535CD4"/>
    <w:rsid w:val="00536AB7"/>
    <w:rsid w:val="00536FC0"/>
    <w:rsid w:val="0053726E"/>
    <w:rsid w:val="00541238"/>
    <w:rsid w:val="005421D8"/>
    <w:rsid w:val="0054237F"/>
    <w:rsid w:val="005426B4"/>
    <w:rsid w:val="005432BB"/>
    <w:rsid w:val="005450DC"/>
    <w:rsid w:val="00547838"/>
    <w:rsid w:val="00547B12"/>
    <w:rsid w:val="00547D09"/>
    <w:rsid w:val="00550057"/>
    <w:rsid w:val="00550BB1"/>
    <w:rsid w:val="00551208"/>
    <w:rsid w:val="00554ADB"/>
    <w:rsid w:val="005556AB"/>
    <w:rsid w:val="00556786"/>
    <w:rsid w:val="00556C3D"/>
    <w:rsid w:val="005571E7"/>
    <w:rsid w:val="005579DE"/>
    <w:rsid w:val="00560C7E"/>
    <w:rsid w:val="00560EBE"/>
    <w:rsid w:val="00560FA8"/>
    <w:rsid w:val="005610F9"/>
    <w:rsid w:val="005614F5"/>
    <w:rsid w:val="00561B37"/>
    <w:rsid w:val="00561BD4"/>
    <w:rsid w:val="00561E82"/>
    <w:rsid w:val="005629EC"/>
    <w:rsid w:val="00562C94"/>
    <w:rsid w:val="00562DCA"/>
    <w:rsid w:val="0056315A"/>
    <w:rsid w:val="00563645"/>
    <w:rsid w:val="00564360"/>
    <w:rsid w:val="005644AC"/>
    <w:rsid w:val="00564DC0"/>
    <w:rsid w:val="005654C7"/>
    <w:rsid w:val="005661E4"/>
    <w:rsid w:val="005662F2"/>
    <w:rsid w:val="00566C93"/>
    <w:rsid w:val="00566F5B"/>
    <w:rsid w:val="00570F28"/>
    <w:rsid w:val="005719BB"/>
    <w:rsid w:val="0057236F"/>
    <w:rsid w:val="00572500"/>
    <w:rsid w:val="00572C95"/>
    <w:rsid w:val="00572E93"/>
    <w:rsid w:val="00573E0C"/>
    <w:rsid w:val="00574C41"/>
    <w:rsid w:val="005752F3"/>
    <w:rsid w:val="005759ED"/>
    <w:rsid w:val="00575FE7"/>
    <w:rsid w:val="00576613"/>
    <w:rsid w:val="00576702"/>
    <w:rsid w:val="005832F0"/>
    <w:rsid w:val="00583FE2"/>
    <w:rsid w:val="00584413"/>
    <w:rsid w:val="00584AA2"/>
    <w:rsid w:val="00585E83"/>
    <w:rsid w:val="00586024"/>
    <w:rsid w:val="0058699E"/>
    <w:rsid w:val="005874FB"/>
    <w:rsid w:val="005877A6"/>
    <w:rsid w:val="00587C20"/>
    <w:rsid w:val="00587C97"/>
    <w:rsid w:val="00591263"/>
    <w:rsid w:val="00591285"/>
    <w:rsid w:val="005915F6"/>
    <w:rsid w:val="00591744"/>
    <w:rsid w:val="00591DD7"/>
    <w:rsid w:val="00592211"/>
    <w:rsid w:val="005940C7"/>
    <w:rsid w:val="00594425"/>
    <w:rsid w:val="00594B06"/>
    <w:rsid w:val="005966E4"/>
    <w:rsid w:val="00597123"/>
    <w:rsid w:val="005A1696"/>
    <w:rsid w:val="005A180A"/>
    <w:rsid w:val="005A2726"/>
    <w:rsid w:val="005A2CE8"/>
    <w:rsid w:val="005A30D9"/>
    <w:rsid w:val="005A3B15"/>
    <w:rsid w:val="005A6611"/>
    <w:rsid w:val="005A70B1"/>
    <w:rsid w:val="005A7131"/>
    <w:rsid w:val="005A7220"/>
    <w:rsid w:val="005A7700"/>
    <w:rsid w:val="005A794F"/>
    <w:rsid w:val="005B0564"/>
    <w:rsid w:val="005B09E1"/>
    <w:rsid w:val="005B0E45"/>
    <w:rsid w:val="005B1743"/>
    <w:rsid w:val="005B21C3"/>
    <w:rsid w:val="005B2DCA"/>
    <w:rsid w:val="005B5A7D"/>
    <w:rsid w:val="005B65CF"/>
    <w:rsid w:val="005B7D5E"/>
    <w:rsid w:val="005C04FC"/>
    <w:rsid w:val="005C19FC"/>
    <w:rsid w:val="005C1D82"/>
    <w:rsid w:val="005C1EFE"/>
    <w:rsid w:val="005C2797"/>
    <w:rsid w:val="005C2F59"/>
    <w:rsid w:val="005C3428"/>
    <w:rsid w:val="005C4829"/>
    <w:rsid w:val="005C4AE6"/>
    <w:rsid w:val="005C4DA9"/>
    <w:rsid w:val="005C52F0"/>
    <w:rsid w:val="005C57E4"/>
    <w:rsid w:val="005C6A97"/>
    <w:rsid w:val="005C6B7A"/>
    <w:rsid w:val="005C6F36"/>
    <w:rsid w:val="005C7768"/>
    <w:rsid w:val="005C7C3B"/>
    <w:rsid w:val="005C7F19"/>
    <w:rsid w:val="005D039A"/>
    <w:rsid w:val="005D0478"/>
    <w:rsid w:val="005D0612"/>
    <w:rsid w:val="005D0EFD"/>
    <w:rsid w:val="005D1C38"/>
    <w:rsid w:val="005D1F13"/>
    <w:rsid w:val="005D4981"/>
    <w:rsid w:val="005D5E2A"/>
    <w:rsid w:val="005D7A2B"/>
    <w:rsid w:val="005D7EE8"/>
    <w:rsid w:val="005E13D2"/>
    <w:rsid w:val="005E190B"/>
    <w:rsid w:val="005E1930"/>
    <w:rsid w:val="005E1C2D"/>
    <w:rsid w:val="005E2677"/>
    <w:rsid w:val="005E46AB"/>
    <w:rsid w:val="005E4C61"/>
    <w:rsid w:val="005E4C9A"/>
    <w:rsid w:val="005E53FA"/>
    <w:rsid w:val="005E5A10"/>
    <w:rsid w:val="005E5CFA"/>
    <w:rsid w:val="005E62A5"/>
    <w:rsid w:val="005E6481"/>
    <w:rsid w:val="005E75AB"/>
    <w:rsid w:val="005E7E10"/>
    <w:rsid w:val="005F16DA"/>
    <w:rsid w:val="005F187E"/>
    <w:rsid w:val="005F3719"/>
    <w:rsid w:val="005F3EF0"/>
    <w:rsid w:val="005F421E"/>
    <w:rsid w:val="005F5DB3"/>
    <w:rsid w:val="005F6109"/>
    <w:rsid w:val="005F6901"/>
    <w:rsid w:val="005F6BD1"/>
    <w:rsid w:val="005F7DD1"/>
    <w:rsid w:val="00601454"/>
    <w:rsid w:val="00601A26"/>
    <w:rsid w:val="006024D4"/>
    <w:rsid w:val="00602ADD"/>
    <w:rsid w:val="00603E8C"/>
    <w:rsid w:val="006041D9"/>
    <w:rsid w:val="00604247"/>
    <w:rsid w:val="0060447A"/>
    <w:rsid w:val="006047AB"/>
    <w:rsid w:val="00604BA0"/>
    <w:rsid w:val="0060517C"/>
    <w:rsid w:val="00605238"/>
    <w:rsid w:val="0060584B"/>
    <w:rsid w:val="0060703F"/>
    <w:rsid w:val="00607BA8"/>
    <w:rsid w:val="006106EB"/>
    <w:rsid w:val="00610FAA"/>
    <w:rsid w:val="00611278"/>
    <w:rsid w:val="00611B4A"/>
    <w:rsid w:val="00612F24"/>
    <w:rsid w:val="00613530"/>
    <w:rsid w:val="00613F3E"/>
    <w:rsid w:val="00614323"/>
    <w:rsid w:val="00614952"/>
    <w:rsid w:val="006165EE"/>
    <w:rsid w:val="006169AB"/>
    <w:rsid w:val="00616E5F"/>
    <w:rsid w:val="00617487"/>
    <w:rsid w:val="00617831"/>
    <w:rsid w:val="00617F75"/>
    <w:rsid w:val="006201E2"/>
    <w:rsid w:val="00620670"/>
    <w:rsid w:val="00622132"/>
    <w:rsid w:val="00622296"/>
    <w:rsid w:val="006233D9"/>
    <w:rsid w:val="00623675"/>
    <w:rsid w:val="00624EE6"/>
    <w:rsid w:val="00625383"/>
    <w:rsid w:val="006256A9"/>
    <w:rsid w:val="006257CF"/>
    <w:rsid w:val="0063004C"/>
    <w:rsid w:val="00630731"/>
    <w:rsid w:val="00630B56"/>
    <w:rsid w:val="006333F4"/>
    <w:rsid w:val="0063417D"/>
    <w:rsid w:val="00635E32"/>
    <w:rsid w:val="00636085"/>
    <w:rsid w:val="00636713"/>
    <w:rsid w:val="0063694C"/>
    <w:rsid w:val="006370D6"/>
    <w:rsid w:val="00637455"/>
    <w:rsid w:val="00637503"/>
    <w:rsid w:val="00637884"/>
    <w:rsid w:val="00637CCF"/>
    <w:rsid w:val="006418FE"/>
    <w:rsid w:val="00642729"/>
    <w:rsid w:val="00642749"/>
    <w:rsid w:val="00642D6F"/>
    <w:rsid w:val="00643030"/>
    <w:rsid w:val="00645168"/>
    <w:rsid w:val="0064573B"/>
    <w:rsid w:val="00646F18"/>
    <w:rsid w:val="006477FE"/>
    <w:rsid w:val="00647DEB"/>
    <w:rsid w:val="006526F1"/>
    <w:rsid w:val="00652D14"/>
    <w:rsid w:val="00654190"/>
    <w:rsid w:val="006545BF"/>
    <w:rsid w:val="006559F6"/>
    <w:rsid w:val="0065611D"/>
    <w:rsid w:val="00656E4E"/>
    <w:rsid w:val="0065773C"/>
    <w:rsid w:val="006600AE"/>
    <w:rsid w:val="00660CBC"/>
    <w:rsid w:val="00661115"/>
    <w:rsid w:val="00661CE9"/>
    <w:rsid w:val="0066267F"/>
    <w:rsid w:val="00662CC7"/>
    <w:rsid w:val="00665DAA"/>
    <w:rsid w:val="006661C1"/>
    <w:rsid w:val="006664E1"/>
    <w:rsid w:val="00670640"/>
    <w:rsid w:val="00670793"/>
    <w:rsid w:val="00670B5E"/>
    <w:rsid w:val="00671365"/>
    <w:rsid w:val="00671566"/>
    <w:rsid w:val="00673065"/>
    <w:rsid w:val="00673C3B"/>
    <w:rsid w:val="0067468A"/>
    <w:rsid w:val="006746A0"/>
    <w:rsid w:val="00674973"/>
    <w:rsid w:val="006749D3"/>
    <w:rsid w:val="006756BD"/>
    <w:rsid w:val="006757AD"/>
    <w:rsid w:val="00675AFA"/>
    <w:rsid w:val="00680645"/>
    <w:rsid w:val="006811F6"/>
    <w:rsid w:val="00681B23"/>
    <w:rsid w:val="00681CBB"/>
    <w:rsid w:val="006829B9"/>
    <w:rsid w:val="0068467C"/>
    <w:rsid w:val="0068559E"/>
    <w:rsid w:val="006857D6"/>
    <w:rsid w:val="00686568"/>
    <w:rsid w:val="00686CB9"/>
    <w:rsid w:val="00687C5C"/>
    <w:rsid w:val="00690C6B"/>
    <w:rsid w:val="00691F6E"/>
    <w:rsid w:val="00692DAF"/>
    <w:rsid w:val="00692ECB"/>
    <w:rsid w:val="006933E3"/>
    <w:rsid w:val="006940E3"/>
    <w:rsid w:val="00694628"/>
    <w:rsid w:val="0069495E"/>
    <w:rsid w:val="0069595C"/>
    <w:rsid w:val="00695E51"/>
    <w:rsid w:val="00696D69"/>
    <w:rsid w:val="00696DF2"/>
    <w:rsid w:val="00697D4D"/>
    <w:rsid w:val="006A0059"/>
    <w:rsid w:val="006A06B8"/>
    <w:rsid w:val="006A124A"/>
    <w:rsid w:val="006A13F3"/>
    <w:rsid w:val="006A198B"/>
    <w:rsid w:val="006A281E"/>
    <w:rsid w:val="006A2B20"/>
    <w:rsid w:val="006A2B63"/>
    <w:rsid w:val="006A3317"/>
    <w:rsid w:val="006A3E21"/>
    <w:rsid w:val="006A509A"/>
    <w:rsid w:val="006A5A44"/>
    <w:rsid w:val="006A5BA7"/>
    <w:rsid w:val="006A73D8"/>
    <w:rsid w:val="006A7CCA"/>
    <w:rsid w:val="006A7D46"/>
    <w:rsid w:val="006B06CF"/>
    <w:rsid w:val="006B1E24"/>
    <w:rsid w:val="006B2071"/>
    <w:rsid w:val="006B21FE"/>
    <w:rsid w:val="006B33E9"/>
    <w:rsid w:val="006B4CB9"/>
    <w:rsid w:val="006B55D6"/>
    <w:rsid w:val="006B5752"/>
    <w:rsid w:val="006B5AE0"/>
    <w:rsid w:val="006B6A85"/>
    <w:rsid w:val="006B6B4C"/>
    <w:rsid w:val="006B7138"/>
    <w:rsid w:val="006B7518"/>
    <w:rsid w:val="006C010A"/>
    <w:rsid w:val="006C0329"/>
    <w:rsid w:val="006C1086"/>
    <w:rsid w:val="006C15A6"/>
    <w:rsid w:val="006C2554"/>
    <w:rsid w:val="006C3829"/>
    <w:rsid w:val="006C3925"/>
    <w:rsid w:val="006C4B71"/>
    <w:rsid w:val="006C4DB7"/>
    <w:rsid w:val="006C55C5"/>
    <w:rsid w:val="006C5C54"/>
    <w:rsid w:val="006C5DEB"/>
    <w:rsid w:val="006C61EE"/>
    <w:rsid w:val="006C63FD"/>
    <w:rsid w:val="006C6AC7"/>
    <w:rsid w:val="006C73E5"/>
    <w:rsid w:val="006D0424"/>
    <w:rsid w:val="006D05B8"/>
    <w:rsid w:val="006D08AF"/>
    <w:rsid w:val="006D0BF5"/>
    <w:rsid w:val="006D0C81"/>
    <w:rsid w:val="006D14EA"/>
    <w:rsid w:val="006D2D97"/>
    <w:rsid w:val="006D395E"/>
    <w:rsid w:val="006D3C81"/>
    <w:rsid w:val="006D4A65"/>
    <w:rsid w:val="006D5393"/>
    <w:rsid w:val="006D60DB"/>
    <w:rsid w:val="006D6D5B"/>
    <w:rsid w:val="006D77FD"/>
    <w:rsid w:val="006E0A4D"/>
    <w:rsid w:val="006E1197"/>
    <w:rsid w:val="006E11B4"/>
    <w:rsid w:val="006E12BD"/>
    <w:rsid w:val="006E13BF"/>
    <w:rsid w:val="006E13D4"/>
    <w:rsid w:val="006E1C92"/>
    <w:rsid w:val="006E20B8"/>
    <w:rsid w:val="006E2157"/>
    <w:rsid w:val="006E226F"/>
    <w:rsid w:val="006E34E8"/>
    <w:rsid w:val="006E3F77"/>
    <w:rsid w:val="006E45AD"/>
    <w:rsid w:val="006E5713"/>
    <w:rsid w:val="006E6650"/>
    <w:rsid w:val="006E7229"/>
    <w:rsid w:val="006F0209"/>
    <w:rsid w:val="006F17B1"/>
    <w:rsid w:val="006F2DFD"/>
    <w:rsid w:val="006F346B"/>
    <w:rsid w:val="006F412B"/>
    <w:rsid w:val="006F6CC1"/>
    <w:rsid w:val="006F6D4F"/>
    <w:rsid w:val="006F70E7"/>
    <w:rsid w:val="006F79EB"/>
    <w:rsid w:val="006F7F0A"/>
    <w:rsid w:val="00700323"/>
    <w:rsid w:val="00700A9A"/>
    <w:rsid w:val="007011E8"/>
    <w:rsid w:val="00702642"/>
    <w:rsid w:val="00703619"/>
    <w:rsid w:val="0070494C"/>
    <w:rsid w:val="00704AE3"/>
    <w:rsid w:val="007050D4"/>
    <w:rsid w:val="007055DA"/>
    <w:rsid w:val="007061CA"/>
    <w:rsid w:val="00707168"/>
    <w:rsid w:val="007071C7"/>
    <w:rsid w:val="00710F7C"/>
    <w:rsid w:val="0071153A"/>
    <w:rsid w:val="00711C66"/>
    <w:rsid w:val="007136DC"/>
    <w:rsid w:val="00713A8A"/>
    <w:rsid w:val="00714259"/>
    <w:rsid w:val="00715466"/>
    <w:rsid w:val="00715757"/>
    <w:rsid w:val="00715F3F"/>
    <w:rsid w:val="00716896"/>
    <w:rsid w:val="00716D9E"/>
    <w:rsid w:val="0072122F"/>
    <w:rsid w:val="0072169F"/>
    <w:rsid w:val="00721709"/>
    <w:rsid w:val="0072335D"/>
    <w:rsid w:val="0072336D"/>
    <w:rsid w:val="007242A9"/>
    <w:rsid w:val="00726A96"/>
    <w:rsid w:val="0072712C"/>
    <w:rsid w:val="00727F26"/>
    <w:rsid w:val="007307F9"/>
    <w:rsid w:val="0073120B"/>
    <w:rsid w:val="0073198A"/>
    <w:rsid w:val="007330F3"/>
    <w:rsid w:val="0073372A"/>
    <w:rsid w:val="007337A0"/>
    <w:rsid w:val="00733B3B"/>
    <w:rsid w:val="0073476C"/>
    <w:rsid w:val="007350FB"/>
    <w:rsid w:val="007354E6"/>
    <w:rsid w:val="00735E51"/>
    <w:rsid w:val="007366D2"/>
    <w:rsid w:val="00736B67"/>
    <w:rsid w:val="0073701A"/>
    <w:rsid w:val="00737A86"/>
    <w:rsid w:val="00740A04"/>
    <w:rsid w:val="00741058"/>
    <w:rsid w:val="0074135D"/>
    <w:rsid w:val="0074150F"/>
    <w:rsid w:val="00741B54"/>
    <w:rsid w:val="00742008"/>
    <w:rsid w:val="007430FF"/>
    <w:rsid w:val="0074371C"/>
    <w:rsid w:val="00743DEA"/>
    <w:rsid w:val="00744660"/>
    <w:rsid w:val="00744A88"/>
    <w:rsid w:val="00744D8A"/>
    <w:rsid w:val="007451BE"/>
    <w:rsid w:val="0074570C"/>
    <w:rsid w:val="0074598C"/>
    <w:rsid w:val="007472A9"/>
    <w:rsid w:val="00747899"/>
    <w:rsid w:val="00750973"/>
    <w:rsid w:val="0075194C"/>
    <w:rsid w:val="007523BF"/>
    <w:rsid w:val="00754385"/>
    <w:rsid w:val="0075452E"/>
    <w:rsid w:val="0075722A"/>
    <w:rsid w:val="00760C3B"/>
    <w:rsid w:val="00760F8F"/>
    <w:rsid w:val="00760FFD"/>
    <w:rsid w:val="00762DE2"/>
    <w:rsid w:val="00762F2E"/>
    <w:rsid w:val="00764AA0"/>
    <w:rsid w:val="00764C15"/>
    <w:rsid w:val="00765B00"/>
    <w:rsid w:val="00765F26"/>
    <w:rsid w:val="00766E3D"/>
    <w:rsid w:val="00767547"/>
    <w:rsid w:val="00767933"/>
    <w:rsid w:val="00770BF0"/>
    <w:rsid w:val="00771228"/>
    <w:rsid w:val="00771442"/>
    <w:rsid w:val="0077220A"/>
    <w:rsid w:val="00772B68"/>
    <w:rsid w:val="007731B7"/>
    <w:rsid w:val="00773766"/>
    <w:rsid w:val="00773AB9"/>
    <w:rsid w:val="00773DAA"/>
    <w:rsid w:val="00775068"/>
    <w:rsid w:val="007752A2"/>
    <w:rsid w:val="00775D48"/>
    <w:rsid w:val="00776B38"/>
    <w:rsid w:val="007777CE"/>
    <w:rsid w:val="00777AA3"/>
    <w:rsid w:val="00777F62"/>
    <w:rsid w:val="0078315D"/>
    <w:rsid w:val="007833AE"/>
    <w:rsid w:val="00783957"/>
    <w:rsid w:val="00783EA5"/>
    <w:rsid w:val="007904C4"/>
    <w:rsid w:val="0079052D"/>
    <w:rsid w:val="00790BDF"/>
    <w:rsid w:val="00792DA4"/>
    <w:rsid w:val="00793A05"/>
    <w:rsid w:val="00794763"/>
    <w:rsid w:val="00794C67"/>
    <w:rsid w:val="00794CD5"/>
    <w:rsid w:val="007953AA"/>
    <w:rsid w:val="0079692F"/>
    <w:rsid w:val="00797049"/>
    <w:rsid w:val="00797334"/>
    <w:rsid w:val="00797502"/>
    <w:rsid w:val="00797CE2"/>
    <w:rsid w:val="007A10E4"/>
    <w:rsid w:val="007A1797"/>
    <w:rsid w:val="007A17B3"/>
    <w:rsid w:val="007A1891"/>
    <w:rsid w:val="007A1BC5"/>
    <w:rsid w:val="007A2196"/>
    <w:rsid w:val="007A263A"/>
    <w:rsid w:val="007A308F"/>
    <w:rsid w:val="007A3441"/>
    <w:rsid w:val="007A4EFC"/>
    <w:rsid w:val="007A5429"/>
    <w:rsid w:val="007A57AF"/>
    <w:rsid w:val="007A57B9"/>
    <w:rsid w:val="007A5847"/>
    <w:rsid w:val="007A62E1"/>
    <w:rsid w:val="007A642F"/>
    <w:rsid w:val="007A6520"/>
    <w:rsid w:val="007A712E"/>
    <w:rsid w:val="007A7396"/>
    <w:rsid w:val="007A74BD"/>
    <w:rsid w:val="007A7736"/>
    <w:rsid w:val="007A7894"/>
    <w:rsid w:val="007B023D"/>
    <w:rsid w:val="007B0BEE"/>
    <w:rsid w:val="007B14DE"/>
    <w:rsid w:val="007B2342"/>
    <w:rsid w:val="007B2ABE"/>
    <w:rsid w:val="007B2E79"/>
    <w:rsid w:val="007B3FF4"/>
    <w:rsid w:val="007B640E"/>
    <w:rsid w:val="007B6913"/>
    <w:rsid w:val="007C053C"/>
    <w:rsid w:val="007C0D2C"/>
    <w:rsid w:val="007C0D95"/>
    <w:rsid w:val="007C377A"/>
    <w:rsid w:val="007C42A7"/>
    <w:rsid w:val="007C4F4F"/>
    <w:rsid w:val="007C5442"/>
    <w:rsid w:val="007C5D17"/>
    <w:rsid w:val="007C5DCB"/>
    <w:rsid w:val="007D0564"/>
    <w:rsid w:val="007D065C"/>
    <w:rsid w:val="007D0BDC"/>
    <w:rsid w:val="007D0E7F"/>
    <w:rsid w:val="007D2C35"/>
    <w:rsid w:val="007D2F2C"/>
    <w:rsid w:val="007D31CB"/>
    <w:rsid w:val="007D43A4"/>
    <w:rsid w:val="007D4EF8"/>
    <w:rsid w:val="007D61B0"/>
    <w:rsid w:val="007D6306"/>
    <w:rsid w:val="007D63BC"/>
    <w:rsid w:val="007D6BDB"/>
    <w:rsid w:val="007D6FA4"/>
    <w:rsid w:val="007D7622"/>
    <w:rsid w:val="007D7D7E"/>
    <w:rsid w:val="007E0293"/>
    <w:rsid w:val="007E1082"/>
    <w:rsid w:val="007E1894"/>
    <w:rsid w:val="007E1E20"/>
    <w:rsid w:val="007E211D"/>
    <w:rsid w:val="007E28F3"/>
    <w:rsid w:val="007E35DB"/>
    <w:rsid w:val="007E36DF"/>
    <w:rsid w:val="007E3EB6"/>
    <w:rsid w:val="007E5326"/>
    <w:rsid w:val="007E5EE7"/>
    <w:rsid w:val="007E62E8"/>
    <w:rsid w:val="007E68EA"/>
    <w:rsid w:val="007E68F6"/>
    <w:rsid w:val="007E6A60"/>
    <w:rsid w:val="007E6D5A"/>
    <w:rsid w:val="007E714E"/>
    <w:rsid w:val="007F0716"/>
    <w:rsid w:val="007F103B"/>
    <w:rsid w:val="007F10F8"/>
    <w:rsid w:val="007F1625"/>
    <w:rsid w:val="007F18EF"/>
    <w:rsid w:val="007F1F37"/>
    <w:rsid w:val="007F25CF"/>
    <w:rsid w:val="007F2A7E"/>
    <w:rsid w:val="007F3754"/>
    <w:rsid w:val="007F3CFC"/>
    <w:rsid w:val="007F4AEF"/>
    <w:rsid w:val="007F5274"/>
    <w:rsid w:val="007F5AF4"/>
    <w:rsid w:val="007F625A"/>
    <w:rsid w:val="007F6743"/>
    <w:rsid w:val="007F73A5"/>
    <w:rsid w:val="007F7DB9"/>
    <w:rsid w:val="00800B9A"/>
    <w:rsid w:val="0080239C"/>
    <w:rsid w:val="008029E1"/>
    <w:rsid w:val="00803219"/>
    <w:rsid w:val="00803AAD"/>
    <w:rsid w:val="00803D15"/>
    <w:rsid w:val="00804588"/>
    <w:rsid w:val="00804B43"/>
    <w:rsid w:val="0080545C"/>
    <w:rsid w:val="00805BE0"/>
    <w:rsid w:val="0080698E"/>
    <w:rsid w:val="008071F1"/>
    <w:rsid w:val="0080747A"/>
    <w:rsid w:val="0080752A"/>
    <w:rsid w:val="00807982"/>
    <w:rsid w:val="00807B88"/>
    <w:rsid w:val="00807E00"/>
    <w:rsid w:val="00810AA5"/>
    <w:rsid w:val="0081162D"/>
    <w:rsid w:val="008116CE"/>
    <w:rsid w:val="00811E3A"/>
    <w:rsid w:val="00812187"/>
    <w:rsid w:val="008144E7"/>
    <w:rsid w:val="00814A4C"/>
    <w:rsid w:val="0081505F"/>
    <w:rsid w:val="00815108"/>
    <w:rsid w:val="0081592A"/>
    <w:rsid w:val="00815B8D"/>
    <w:rsid w:val="00816690"/>
    <w:rsid w:val="00816D28"/>
    <w:rsid w:val="00816EE6"/>
    <w:rsid w:val="00817FC9"/>
    <w:rsid w:val="0082038D"/>
    <w:rsid w:val="008217D2"/>
    <w:rsid w:val="008219BE"/>
    <w:rsid w:val="00821C06"/>
    <w:rsid w:val="00822802"/>
    <w:rsid w:val="00822B8B"/>
    <w:rsid w:val="00823D9B"/>
    <w:rsid w:val="008245F2"/>
    <w:rsid w:val="00824F1B"/>
    <w:rsid w:val="0082501C"/>
    <w:rsid w:val="0082597E"/>
    <w:rsid w:val="0082633B"/>
    <w:rsid w:val="008268A8"/>
    <w:rsid w:val="00827306"/>
    <w:rsid w:val="0083073C"/>
    <w:rsid w:val="008307DF"/>
    <w:rsid w:val="00830975"/>
    <w:rsid w:val="00830E9D"/>
    <w:rsid w:val="00832BC4"/>
    <w:rsid w:val="00832EDB"/>
    <w:rsid w:val="0083305D"/>
    <w:rsid w:val="00834124"/>
    <w:rsid w:val="00835426"/>
    <w:rsid w:val="00835FB3"/>
    <w:rsid w:val="00836563"/>
    <w:rsid w:val="008367E9"/>
    <w:rsid w:val="00836916"/>
    <w:rsid w:val="008377BF"/>
    <w:rsid w:val="00837A56"/>
    <w:rsid w:val="00840697"/>
    <w:rsid w:val="00841197"/>
    <w:rsid w:val="0084151A"/>
    <w:rsid w:val="0084238C"/>
    <w:rsid w:val="008429F8"/>
    <w:rsid w:val="0084309B"/>
    <w:rsid w:val="00843211"/>
    <w:rsid w:val="008441B3"/>
    <w:rsid w:val="008444C7"/>
    <w:rsid w:val="00846537"/>
    <w:rsid w:val="0084668D"/>
    <w:rsid w:val="008477E3"/>
    <w:rsid w:val="00850918"/>
    <w:rsid w:val="00850DBF"/>
    <w:rsid w:val="00851059"/>
    <w:rsid w:val="00851467"/>
    <w:rsid w:val="008515AD"/>
    <w:rsid w:val="008534D3"/>
    <w:rsid w:val="00853BE2"/>
    <w:rsid w:val="00855006"/>
    <w:rsid w:val="0085639C"/>
    <w:rsid w:val="00856C71"/>
    <w:rsid w:val="008574D1"/>
    <w:rsid w:val="0085765F"/>
    <w:rsid w:val="0086151D"/>
    <w:rsid w:val="00861B81"/>
    <w:rsid w:val="00861C3D"/>
    <w:rsid w:val="00863EA3"/>
    <w:rsid w:val="008640AE"/>
    <w:rsid w:val="00864110"/>
    <w:rsid w:val="00864C43"/>
    <w:rsid w:val="00865174"/>
    <w:rsid w:val="00865E02"/>
    <w:rsid w:val="00866027"/>
    <w:rsid w:val="00866AC0"/>
    <w:rsid w:val="00866AF6"/>
    <w:rsid w:val="00866DAC"/>
    <w:rsid w:val="00867E10"/>
    <w:rsid w:val="00870499"/>
    <w:rsid w:val="00871005"/>
    <w:rsid w:val="0087154F"/>
    <w:rsid w:val="008719C2"/>
    <w:rsid w:val="00872139"/>
    <w:rsid w:val="00872B80"/>
    <w:rsid w:val="00873FC9"/>
    <w:rsid w:val="00874143"/>
    <w:rsid w:val="00874F6C"/>
    <w:rsid w:val="00876097"/>
    <w:rsid w:val="008768CF"/>
    <w:rsid w:val="00876907"/>
    <w:rsid w:val="008806E1"/>
    <w:rsid w:val="00882C4D"/>
    <w:rsid w:val="00883FC2"/>
    <w:rsid w:val="00884F45"/>
    <w:rsid w:val="008855E5"/>
    <w:rsid w:val="00885ECA"/>
    <w:rsid w:val="00885FBC"/>
    <w:rsid w:val="00886394"/>
    <w:rsid w:val="0088688B"/>
    <w:rsid w:val="00886B12"/>
    <w:rsid w:val="00886FC3"/>
    <w:rsid w:val="00890690"/>
    <w:rsid w:val="00892173"/>
    <w:rsid w:val="0089221C"/>
    <w:rsid w:val="00892453"/>
    <w:rsid w:val="00892879"/>
    <w:rsid w:val="008931A5"/>
    <w:rsid w:val="00893867"/>
    <w:rsid w:val="00893B86"/>
    <w:rsid w:val="00893B88"/>
    <w:rsid w:val="00893E1E"/>
    <w:rsid w:val="008944A3"/>
    <w:rsid w:val="00895051"/>
    <w:rsid w:val="00895DB6"/>
    <w:rsid w:val="00895FE6"/>
    <w:rsid w:val="008965F9"/>
    <w:rsid w:val="008968B4"/>
    <w:rsid w:val="00896A96"/>
    <w:rsid w:val="008971EE"/>
    <w:rsid w:val="0089774A"/>
    <w:rsid w:val="008977F1"/>
    <w:rsid w:val="008A0158"/>
    <w:rsid w:val="008A0DA7"/>
    <w:rsid w:val="008A18E8"/>
    <w:rsid w:val="008A2A49"/>
    <w:rsid w:val="008A3207"/>
    <w:rsid w:val="008A33A2"/>
    <w:rsid w:val="008A3D0A"/>
    <w:rsid w:val="008A42E6"/>
    <w:rsid w:val="008A477F"/>
    <w:rsid w:val="008A5798"/>
    <w:rsid w:val="008A613D"/>
    <w:rsid w:val="008A6F4B"/>
    <w:rsid w:val="008A7ACF"/>
    <w:rsid w:val="008B2C2C"/>
    <w:rsid w:val="008B30A6"/>
    <w:rsid w:val="008B6204"/>
    <w:rsid w:val="008B6766"/>
    <w:rsid w:val="008C02D2"/>
    <w:rsid w:val="008C05AC"/>
    <w:rsid w:val="008C12DD"/>
    <w:rsid w:val="008C27BD"/>
    <w:rsid w:val="008C3E1D"/>
    <w:rsid w:val="008C495F"/>
    <w:rsid w:val="008C55A7"/>
    <w:rsid w:val="008C55E2"/>
    <w:rsid w:val="008C7235"/>
    <w:rsid w:val="008C7606"/>
    <w:rsid w:val="008C7D8F"/>
    <w:rsid w:val="008C7EFD"/>
    <w:rsid w:val="008D04DC"/>
    <w:rsid w:val="008D15AB"/>
    <w:rsid w:val="008D268F"/>
    <w:rsid w:val="008D2B84"/>
    <w:rsid w:val="008D2C4D"/>
    <w:rsid w:val="008D38E3"/>
    <w:rsid w:val="008D47FC"/>
    <w:rsid w:val="008D4808"/>
    <w:rsid w:val="008D4FD1"/>
    <w:rsid w:val="008D6CCD"/>
    <w:rsid w:val="008D6F7B"/>
    <w:rsid w:val="008D7B72"/>
    <w:rsid w:val="008E115C"/>
    <w:rsid w:val="008E16E6"/>
    <w:rsid w:val="008E175D"/>
    <w:rsid w:val="008E1B59"/>
    <w:rsid w:val="008E2453"/>
    <w:rsid w:val="008E254B"/>
    <w:rsid w:val="008E2C8D"/>
    <w:rsid w:val="008E3054"/>
    <w:rsid w:val="008E379D"/>
    <w:rsid w:val="008E3833"/>
    <w:rsid w:val="008E4A89"/>
    <w:rsid w:val="008E4D56"/>
    <w:rsid w:val="008E588E"/>
    <w:rsid w:val="008E6958"/>
    <w:rsid w:val="008E6E21"/>
    <w:rsid w:val="008E6EAC"/>
    <w:rsid w:val="008E77FA"/>
    <w:rsid w:val="008E7ABF"/>
    <w:rsid w:val="008E7B82"/>
    <w:rsid w:val="008E7C00"/>
    <w:rsid w:val="008F0193"/>
    <w:rsid w:val="008F0E10"/>
    <w:rsid w:val="008F232F"/>
    <w:rsid w:val="008F3799"/>
    <w:rsid w:val="008F69BD"/>
    <w:rsid w:val="008F7335"/>
    <w:rsid w:val="008F76B1"/>
    <w:rsid w:val="008F79C4"/>
    <w:rsid w:val="00900421"/>
    <w:rsid w:val="00900436"/>
    <w:rsid w:val="0090095C"/>
    <w:rsid w:val="00900C1F"/>
    <w:rsid w:val="009012D6"/>
    <w:rsid w:val="0090354F"/>
    <w:rsid w:val="00903C23"/>
    <w:rsid w:val="00903DCE"/>
    <w:rsid w:val="009050A6"/>
    <w:rsid w:val="00905C45"/>
    <w:rsid w:val="00905FC0"/>
    <w:rsid w:val="00907A50"/>
    <w:rsid w:val="00910238"/>
    <w:rsid w:val="0091196A"/>
    <w:rsid w:val="009128FF"/>
    <w:rsid w:val="00912BF3"/>
    <w:rsid w:val="0091353D"/>
    <w:rsid w:val="009137B5"/>
    <w:rsid w:val="0091385D"/>
    <w:rsid w:val="00916312"/>
    <w:rsid w:val="00916F6F"/>
    <w:rsid w:val="00916F7E"/>
    <w:rsid w:val="009177AD"/>
    <w:rsid w:val="009177D8"/>
    <w:rsid w:val="00917882"/>
    <w:rsid w:val="00917D06"/>
    <w:rsid w:val="00920D9D"/>
    <w:rsid w:val="009210B0"/>
    <w:rsid w:val="0092192D"/>
    <w:rsid w:val="00921936"/>
    <w:rsid w:val="00921B1B"/>
    <w:rsid w:val="00921E9D"/>
    <w:rsid w:val="00923086"/>
    <w:rsid w:val="00923338"/>
    <w:rsid w:val="009234CD"/>
    <w:rsid w:val="0092445A"/>
    <w:rsid w:val="009255B5"/>
    <w:rsid w:val="00926087"/>
    <w:rsid w:val="00927867"/>
    <w:rsid w:val="00927A12"/>
    <w:rsid w:val="009313C9"/>
    <w:rsid w:val="00931DB1"/>
    <w:rsid w:val="0093225D"/>
    <w:rsid w:val="00932AB0"/>
    <w:rsid w:val="00932DAE"/>
    <w:rsid w:val="00935080"/>
    <w:rsid w:val="00935616"/>
    <w:rsid w:val="00935AE5"/>
    <w:rsid w:val="00935F9C"/>
    <w:rsid w:val="009366BB"/>
    <w:rsid w:val="009373A1"/>
    <w:rsid w:val="0093745A"/>
    <w:rsid w:val="009376B5"/>
    <w:rsid w:val="009377D2"/>
    <w:rsid w:val="00937D2E"/>
    <w:rsid w:val="00937E96"/>
    <w:rsid w:val="0094247F"/>
    <w:rsid w:val="00942B16"/>
    <w:rsid w:val="00944C81"/>
    <w:rsid w:val="00944E6F"/>
    <w:rsid w:val="0094509F"/>
    <w:rsid w:val="00945DCF"/>
    <w:rsid w:val="00945EB1"/>
    <w:rsid w:val="00946227"/>
    <w:rsid w:val="00946AF4"/>
    <w:rsid w:val="009476A4"/>
    <w:rsid w:val="0095080D"/>
    <w:rsid w:val="00950E7B"/>
    <w:rsid w:val="00952DAE"/>
    <w:rsid w:val="0095317D"/>
    <w:rsid w:val="0095372C"/>
    <w:rsid w:val="00953FCB"/>
    <w:rsid w:val="00954358"/>
    <w:rsid w:val="00955305"/>
    <w:rsid w:val="00955FFA"/>
    <w:rsid w:val="00956263"/>
    <w:rsid w:val="00956C08"/>
    <w:rsid w:val="00956E6D"/>
    <w:rsid w:val="00957127"/>
    <w:rsid w:val="00957C26"/>
    <w:rsid w:val="00960410"/>
    <w:rsid w:val="00960925"/>
    <w:rsid w:val="00962DFB"/>
    <w:rsid w:val="00963F99"/>
    <w:rsid w:val="0096427E"/>
    <w:rsid w:val="0096515B"/>
    <w:rsid w:val="00965CB6"/>
    <w:rsid w:val="00965D23"/>
    <w:rsid w:val="00965E61"/>
    <w:rsid w:val="00966863"/>
    <w:rsid w:val="00966F15"/>
    <w:rsid w:val="0096793B"/>
    <w:rsid w:val="009707F8"/>
    <w:rsid w:val="009710F9"/>
    <w:rsid w:val="0097241F"/>
    <w:rsid w:val="00972879"/>
    <w:rsid w:val="009738EB"/>
    <w:rsid w:val="00973A31"/>
    <w:rsid w:val="00974339"/>
    <w:rsid w:val="00974589"/>
    <w:rsid w:val="0097521F"/>
    <w:rsid w:val="0097587C"/>
    <w:rsid w:val="00975A9B"/>
    <w:rsid w:val="009776E4"/>
    <w:rsid w:val="009777E4"/>
    <w:rsid w:val="009802D5"/>
    <w:rsid w:val="00980621"/>
    <w:rsid w:val="00980A36"/>
    <w:rsid w:val="009841C9"/>
    <w:rsid w:val="0098452B"/>
    <w:rsid w:val="00985D62"/>
    <w:rsid w:val="009869C1"/>
    <w:rsid w:val="00987576"/>
    <w:rsid w:val="00987E7B"/>
    <w:rsid w:val="00987F7E"/>
    <w:rsid w:val="0099162F"/>
    <w:rsid w:val="00993977"/>
    <w:rsid w:val="0099415E"/>
    <w:rsid w:val="009946F2"/>
    <w:rsid w:val="009955FB"/>
    <w:rsid w:val="00995989"/>
    <w:rsid w:val="00996A23"/>
    <w:rsid w:val="00997363"/>
    <w:rsid w:val="009A06E3"/>
    <w:rsid w:val="009A0941"/>
    <w:rsid w:val="009A3A31"/>
    <w:rsid w:val="009A3D07"/>
    <w:rsid w:val="009A4702"/>
    <w:rsid w:val="009A48B5"/>
    <w:rsid w:val="009A53E9"/>
    <w:rsid w:val="009A5893"/>
    <w:rsid w:val="009A65F6"/>
    <w:rsid w:val="009A6A83"/>
    <w:rsid w:val="009B2CF0"/>
    <w:rsid w:val="009B362F"/>
    <w:rsid w:val="009B47D6"/>
    <w:rsid w:val="009B4875"/>
    <w:rsid w:val="009B4C6A"/>
    <w:rsid w:val="009B4DF9"/>
    <w:rsid w:val="009B53D4"/>
    <w:rsid w:val="009B658F"/>
    <w:rsid w:val="009B7DDE"/>
    <w:rsid w:val="009C0253"/>
    <w:rsid w:val="009C045B"/>
    <w:rsid w:val="009C05A0"/>
    <w:rsid w:val="009C163E"/>
    <w:rsid w:val="009C194C"/>
    <w:rsid w:val="009C331B"/>
    <w:rsid w:val="009C3DEC"/>
    <w:rsid w:val="009C5418"/>
    <w:rsid w:val="009C5D52"/>
    <w:rsid w:val="009D073E"/>
    <w:rsid w:val="009D1254"/>
    <w:rsid w:val="009D3183"/>
    <w:rsid w:val="009D4BAB"/>
    <w:rsid w:val="009D4BC9"/>
    <w:rsid w:val="009D5009"/>
    <w:rsid w:val="009D517E"/>
    <w:rsid w:val="009D526D"/>
    <w:rsid w:val="009D5820"/>
    <w:rsid w:val="009D5C63"/>
    <w:rsid w:val="009D5D8E"/>
    <w:rsid w:val="009D6809"/>
    <w:rsid w:val="009D68D2"/>
    <w:rsid w:val="009D76D5"/>
    <w:rsid w:val="009E1191"/>
    <w:rsid w:val="009E128C"/>
    <w:rsid w:val="009E1B3A"/>
    <w:rsid w:val="009E294D"/>
    <w:rsid w:val="009E3BF6"/>
    <w:rsid w:val="009E4D1B"/>
    <w:rsid w:val="009E5B23"/>
    <w:rsid w:val="009E5DA8"/>
    <w:rsid w:val="009E6B51"/>
    <w:rsid w:val="009E75D2"/>
    <w:rsid w:val="009E7A1E"/>
    <w:rsid w:val="009F069D"/>
    <w:rsid w:val="009F19DC"/>
    <w:rsid w:val="009F2A61"/>
    <w:rsid w:val="009F458F"/>
    <w:rsid w:val="009F5AEC"/>
    <w:rsid w:val="00A0132A"/>
    <w:rsid w:val="00A01733"/>
    <w:rsid w:val="00A01E75"/>
    <w:rsid w:val="00A02026"/>
    <w:rsid w:val="00A03999"/>
    <w:rsid w:val="00A03DAC"/>
    <w:rsid w:val="00A04057"/>
    <w:rsid w:val="00A04304"/>
    <w:rsid w:val="00A04725"/>
    <w:rsid w:val="00A04A00"/>
    <w:rsid w:val="00A053BF"/>
    <w:rsid w:val="00A0678F"/>
    <w:rsid w:val="00A0732D"/>
    <w:rsid w:val="00A079DF"/>
    <w:rsid w:val="00A07C31"/>
    <w:rsid w:val="00A10421"/>
    <w:rsid w:val="00A11866"/>
    <w:rsid w:val="00A1242B"/>
    <w:rsid w:val="00A1321C"/>
    <w:rsid w:val="00A13E79"/>
    <w:rsid w:val="00A14792"/>
    <w:rsid w:val="00A16DEC"/>
    <w:rsid w:val="00A17CB4"/>
    <w:rsid w:val="00A17E3E"/>
    <w:rsid w:val="00A20546"/>
    <w:rsid w:val="00A20BC9"/>
    <w:rsid w:val="00A2120A"/>
    <w:rsid w:val="00A21A75"/>
    <w:rsid w:val="00A2248A"/>
    <w:rsid w:val="00A238E4"/>
    <w:rsid w:val="00A24243"/>
    <w:rsid w:val="00A2480C"/>
    <w:rsid w:val="00A24927"/>
    <w:rsid w:val="00A25D01"/>
    <w:rsid w:val="00A26199"/>
    <w:rsid w:val="00A26D86"/>
    <w:rsid w:val="00A275F8"/>
    <w:rsid w:val="00A27809"/>
    <w:rsid w:val="00A300CB"/>
    <w:rsid w:val="00A30689"/>
    <w:rsid w:val="00A30C3F"/>
    <w:rsid w:val="00A31562"/>
    <w:rsid w:val="00A31B9A"/>
    <w:rsid w:val="00A3234E"/>
    <w:rsid w:val="00A32F25"/>
    <w:rsid w:val="00A343A8"/>
    <w:rsid w:val="00A3679B"/>
    <w:rsid w:val="00A3699A"/>
    <w:rsid w:val="00A36D46"/>
    <w:rsid w:val="00A37788"/>
    <w:rsid w:val="00A40DCC"/>
    <w:rsid w:val="00A40E00"/>
    <w:rsid w:val="00A40E14"/>
    <w:rsid w:val="00A41776"/>
    <w:rsid w:val="00A42714"/>
    <w:rsid w:val="00A42B1F"/>
    <w:rsid w:val="00A42FB9"/>
    <w:rsid w:val="00A433CD"/>
    <w:rsid w:val="00A446AC"/>
    <w:rsid w:val="00A44C35"/>
    <w:rsid w:val="00A459B6"/>
    <w:rsid w:val="00A46690"/>
    <w:rsid w:val="00A50829"/>
    <w:rsid w:val="00A52946"/>
    <w:rsid w:val="00A53F55"/>
    <w:rsid w:val="00A54165"/>
    <w:rsid w:val="00A54848"/>
    <w:rsid w:val="00A550A6"/>
    <w:rsid w:val="00A559AA"/>
    <w:rsid w:val="00A561DA"/>
    <w:rsid w:val="00A56902"/>
    <w:rsid w:val="00A57820"/>
    <w:rsid w:val="00A578FB"/>
    <w:rsid w:val="00A61168"/>
    <w:rsid w:val="00A618DA"/>
    <w:rsid w:val="00A6280C"/>
    <w:rsid w:val="00A62A3D"/>
    <w:rsid w:val="00A64FE9"/>
    <w:rsid w:val="00A64FEC"/>
    <w:rsid w:val="00A65392"/>
    <w:rsid w:val="00A65A91"/>
    <w:rsid w:val="00A674B2"/>
    <w:rsid w:val="00A70096"/>
    <w:rsid w:val="00A7226A"/>
    <w:rsid w:val="00A736E3"/>
    <w:rsid w:val="00A73849"/>
    <w:rsid w:val="00A744D1"/>
    <w:rsid w:val="00A753C0"/>
    <w:rsid w:val="00A757F4"/>
    <w:rsid w:val="00A759D3"/>
    <w:rsid w:val="00A762CB"/>
    <w:rsid w:val="00A769EA"/>
    <w:rsid w:val="00A77067"/>
    <w:rsid w:val="00A819B9"/>
    <w:rsid w:val="00A81D3D"/>
    <w:rsid w:val="00A8305C"/>
    <w:rsid w:val="00A83E48"/>
    <w:rsid w:val="00A85995"/>
    <w:rsid w:val="00A8625D"/>
    <w:rsid w:val="00A86DFB"/>
    <w:rsid w:val="00A87543"/>
    <w:rsid w:val="00A91697"/>
    <w:rsid w:val="00A920EB"/>
    <w:rsid w:val="00A92D31"/>
    <w:rsid w:val="00A9373B"/>
    <w:rsid w:val="00A93E57"/>
    <w:rsid w:val="00A941BF"/>
    <w:rsid w:val="00A944FB"/>
    <w:rsid w:val="00A9488A"/>
    <w:rsid w:val="00A94AEA"/>
    <w:rsid w:val="00A94F9C"/>
    <w:rsid w:val="00A95AA9"/>
    <w:rsid w:val="00A95E47"/>
    <w:rsid w:val="00A96532"/>
    <w:rsid w:val="00A967B1"/>
    <w:rsid w:val="00A96E05"/>
    <w:rsid w:val="00A97462"/>
    <w:rsid w:val="00A97960"/>
    <w:rsid w:val="00AA00E6"/>
    <w:rsid w:val="00AA15DE"/>
    <w:rsid w:val="00AA2030"/>
    <w:rsid w:val="00AA2228"/>
    <w:rsid w:val="00AA22DC"/>
    <w:rsid w:val="00AA258D"/>
    <w:rsid w:val="00AA2855"/>
    <w:rsid w:val="00AA2CF0"/>
    <w:rsid w:val="00AA3C74"/>
    <w:rsid w:val="00AA4473"/>
    <w:rsid w:val="00AA4935"/>
    <w:rsid w:val="00AA51EC"/>
    <w:rsid w:val="00AA5442"/>
    <w:rsid w:val="00AA681D"/>
    <w:rsid w:val="00AB21D1"/>
    <w:rsid w:val="00AB26CA"/>
    <w:rsid w:val="00AB2D65"/>
    <w:rsid w:val="00AB2DF3"/>
    <w:rsid w:val="00AB3109"/>
    <w:rsid w:val="00AB3648"/>
    <w:rsid w:val="00AB3BB8"/>
    <w:rsid w:val="00AB3DDB"/>
    <w:rsid w:val="00AB4926"/>
    <w:rsid w:val="00AB65F3"/>
    <w:rsid w:val="00AB6613"/>
    <w:rsid w:val="00AB6A62"/>
    <w:rsid w:val="00AB7636"/>
    <w:rsid w:val="00AB791A"/>
    <w:rsid w:val="00AC0CEC"/>
    <w:rsid w:val="00AC152B"/>
    <w:rsid w:val="00AC187A"/>
    <w:rsid w:val="00AC1A8F"/>
    <w:rsid w:val="00AC282E"/>
    <w:rsid w:val="00AC2E4C"/>
    <w:rsid w:val="00AC318A"/>
    <w:rsid w:val="00AC3A32"/>
    <w:rsid w:val="00AC4766"/>
    <w:rsid w:val="00AC4CC7"/>
    <w:rsid w:val="00AC5414"/>
    <w:rsid w:val="00AC5562"/>
    <w:rsid w:val="00AC5917"/>
    <w:rsid w:val="00AC6EBB"/>
    <w:rsid w:val="00AC7197"/>
    <w:rsid w:val="00AC7A12"/>
    <w:rsid w:val="00AC7ED0"/>
    <w:rsid w:val="00AD1052"/>
    <w:rsid w:val="00AD1BA9"/>
    <w:rsid w:val="00AD2296"/>
    <w:rsid w:val="00AD2EDF"/>
    <w:rsid w:val="00AD45CC"/>
    <w:rsid w:val="00AD4A0B"/>
    <w:rsid w:val="00AD4D3F"/>
    <w:rsid w:val="00AD536E"/>
    <w:rsid w:val="00AD7BF5"/>
    <w:rsid w:val="00AE097D"/>
    <w:rsid w:val="00AE0B53"/>
    <w:rsid w:val="00AE27F2"/>
    <w:rsid w:val="00AE28F8"/>
    <w:rsid w:val="00AE31D4"/>
    <w:rsid w:val="00AE3368"/>
    <w:rsid w:val="00AE3D72"/>
    <w:rsid w:val="00AE4140"/>
    <w:rsid w:val="00AE4279"/>
    <w:rsid w:val="00AE4413"/>
    <w:rsid w:val="00AE6688"/>
    <w:rsid w:val="00AE727C"/>
    <w:rsid w:val="00AE7701"/>
    <w:rsid w:val="00AE7EB6"/>
    <w:rsid w:val="00AE7FA2"/>
    <w:rsid w:val="00AF0BE2"/>
    <w:rsid w:val="00AF1B69"/>
    <w:rsid w:val="00AF236E"/>
    <w:rsid w:val="00AF2A76"/>
    <w:rsid w:val="00AF3579"/>
    <w:rsid w:val="00AF3907"/>
    <w:rsid w:val="00AF4487"/>
    <w:rsid w:val="00AF56A4"/>
    <w:rsid w:val="00AF5702"/>
    <w:rsid w:val="00AF5C12"/>
    <w:rsid w:val="00AF707D"/>
    <w:rsid w:val="00AF7300"/>
    <w:rsid w:val="00AF790A"/>
    <w:rsid w:val="00AF7E1A"/>
    <w:rsid w:val="00B00BB9"/>
    <w:rsid w:val="00B00C87"/>
    <w:rsid w:val="00B01423"/>
    <w:rsid w:val="00B02A86"/>
    <w:rsid w:val="00B03076"/>
    <w:rsid w:val="00B0368A"/>
    <w:rsid w:val="00B04BEE"/>
    <w:rsid w:val="00B04C0A"/>
    <w:rsid w:val="00B06C57"/>
    <w:rsid w:val="00B072EA"/>
    <w:rsid w:val="00B07C1A"/>
    <w:rsid w:val="00B07C32"/>
    <w:rsid w:val="00B1073B"/>
    <w:rsid w:val="00B107E1"/>
    <w:rsid w:val="00B11883"/>
    <w:rsid w:val="00B12A4F"/>
    <w:rsid w:val="00B130C1"/>
    <w:rsid w:val="00B141CF"/>
    <w:rsid w:val="00B1533C"/>
    <w:rsid w:val="00B155DA"/>
    <w:rsid w:val="00B16321"/>
    <w:rsid w:val="00B163F7"/>
    <w:rsid w:val="00B1647D"/>
    <w:rsid w:val="00B166F0"/>
    <w:rsid w:val="00B174E7"/>
    <w:rsid w:val="00B21876"/>
    <w:rsid w:val="00B21E6B"/>
    <w:rsid w:val="00B2242D"/>
    <w:rsid w:val="00B2258C"/>
    <w:rsid w:val="00B231AF"/>
    <w:rsid w:val="00B2360E"/>
    <w:rsid w:val="00B23B07"/>
    <w:rsid w:val="00B23C11"/>
    <w:rsid w:val="00B23CC1"/>
    <w:rsid w:val="00B241BD"/>
    <w:rsid w:val="00B260B8"/>
    <w:rsid w:val="00B27711"/>
    <w:rsid w:val="00B31493"/>
    <w:rsid w:val="00B321E2"/>
    <w:rsid w:val="00B322E2"/>
    <w:rsid w:val="00B32CFC"/>
    <w:rsid w:val="00B3321E"/>
    <w:rsid w:val="00B3486E"/>
    <w:rsid w:val="00B351A0"/>
    <w:rsid w:val="00B357B1"/>
    <w:rsid w:val="00B35FA2"/>
    <w:rsid w:val="00B36C58"/>
    <w:rsid w:val="00B36D57"/>
    <w:rsid w:val="00B36D68"/>
    <w:rsid w:val="00B37163"/>
    <w:rsid w:val="00B378C7"/>
    <w:rsid w:val="00B402AC"/>
    <w:rsid w:val="00B40329"/>
    <w:rsid w:val="00B4173D"/>
    <w:rsid w:val="00B41B53"/>
    <w:rsid w:val="00B41F40"/>
    <w:rsid w:val="00B41F5D"/>
    <w:rsid w:val="00B4205C"/>
    <w:rsid w:val="00B42D4F"/>
    <w:rsid w:val="00B43338"/>
    <w:rsid w:val="00B435DC"/>
    <w:rsid w:val="00B43D72"/>
    <w:rsid w:val="00B43FA3"/>
    <w:rsid w:val="00B4415A"/>
    <w:rsid w:val="00B44376"/>
    <w:rsid w:val="00B44C0B"/>
    <w:rsid w:val="00B4515C"/>
    <w:rsid w:val="00B4523F"/>
    <w:rsid w:val="00B45321"/>
    <w:rsid w:val="00B457D7"/>
    <w:rsid w:val="00B46195"/>
    <w:rsid w:val="00B46936"/>
    <w:rsid w:val="00B46A40"/>
    <w:rsid w:val="00B46BA0"/>
    <w:rsid w:val="00B46D93"/>
    <w:rsid w:val="00B47263"/>
    <w:rsid w:val="00B50873"/>
    <w:rsid w:val="00B50AD6"/>
    <w:rsid w:val="00B52AA9"/>
    <w:rsid w:val="00B52EDE"/>
    <w:rsid w:val="00B532AD"/>
    <w:rsid w:val="00B53E61"/>
    <w:rsid w:val="00B54E66"/>
    <w:rsid w:val="00B5653B"/>
    <w:rsid w:val="00B603CA"/>
    <w:rsid w:val="00B60B54"/>
    <w:rsid w:val="00B61021"/>
    <w:rsid w:val="00B61AF8"/>
    <w:rsid w:val="00B6209A"/>
    <w:rsid w:val="00B6315B"/>
    <w:rsid w:val="00B63F87"/>
    <w:rsid w:val="00B64542"/>
    <w:rsid w:val="00B64D76"/>
    <w:rsid w:val="00B6532E"/>
    <w:rsid w:val="00B653CA"/>
    <w:rsid w:val="00B65600"/>
    <w:rsid w:val="00B65F85"/>
    <w:rsid w:val="00B65FF1"/>
    <w:rsid w:val="00B6649D"/>
    <w:rsid w:val="00B66A23"/>
    <w:rsid w:val="00B6778E"/>
    <w:rsid w:val="00B7100E"/>
    <w:rsid w:val="00B7111A"/>
    <w:rsid w:val="00B716B2"/>
    <w:rsid w:val="00B71788"/>
    <w:rsid w:val="00B71C22"/>
    <w:rsid w:val="00B71EAC"/>
    <w:rsid w:val="00B71FA9"/>
    <w:rsid w:val="00B721C8"/>
    <w:rsid w:val="00B7310B"/>
    <w:rsid w:val="00B731D5"/>
    <w:rsid w:val="00B73423"/>
    <w:rsid w:val="00B738A1"/>
    <w:rsid w:val="00B74BED"/>
    <w:rsid w:val="00B76900"/>
    <w:rsid w:val="00B77C8B"/>
    <w:rsid w:val="00B80AB3"/>
    <w:rsid w:val="00B80E5F"/>
    <w:rsid w:val="00B80E8A"/>
    <w:rsid w:val="00B81359"/>
    <w:rsid w:val="00B827D4"/>
    <w:rsid w:val="00B85B50"/>
    <w:rsid w:val="00B86446"/>
    <w:rsid w:val="00B86A3B"/>
    <w:rsid w:val="00B86E61"/>
    <w:rsid w:val="00B872F8"/>
    <w:rsid w:val="00B87401"/>
    <w:rsid w:val="00B87FDD"/>
    <w:rsid w:val="00B910D5"/>
    <w:rsid w:val="00B915DD"/>
    <w:rsid w:val="00B918F2"/>
    <w:rsid w:val="00B919B7"/>
    <w:rsid w:val="00B9251E"/>
    <w:rsid w:val="00B9259C"/>
    <w:rsid w:val="00B932D1"/>
    <w:rsid w:val="00B93378"/>
    <w:rsid w:val="00B93958"/>
    <w:rsid w:val="00B93B74"/>
    <w:rsid w:val="00B93FCF"/>
    <w:rsid w:val="00B948DD"/>
    <w:rsid w:val="00B95511"/>
    <w:rsid w:val="00B958E8"/>
    <w:rsid w:val="00B95B94"/>
    <w:rsid w:val="00B96553"/>
    <w:rsid w:val="00B96A7B"/>
    <w:rsid w:val="00B97791"/>
    <w:rsid w:val="00B9791B"/>
    <w:rsid w:val="00BA027C"/>
    <w:rsid w:val="00BA11CB"/>
    <w:rsid w:val="00BA23B3"/>
    <w:rsid w:val="00BA442B"/>
    <w:rsid w:val="00BA49D7"/>
    <w:rsid w:val="00BA49EB"/>
    <w:rsid w:val="00BA5642"/>
    <w:rsid w:val="00BA68B4"/>
    <w:rsid w:val="00BA773F"/>
    <w:rsid w:val="00BA7BEC"/>
    <w:rsid w:val="00BB1EA5"/>
    <w:rsid w:val="00BB2010"/>
    <w:rsid w:val="00BB2E85"/>
    <w:rsid w:val="00BB2F49"/>
    <w:rsid w:val="00BB3020"/>
    <w:rsid w:val="00BB4120"/>
    <w:rsid w:val="00BB492A"/>
    <w:rsid w:val="00BB51CB"/>
    <w:rsid w:val="00BB5216"/>
    <w:rsid w:val="00BB5ACB"/>
    <w:rsid w:val="00BB74F7"/>
    <w:rsid w:val="00BC0951"/>
    <w:rsid w:val="00BC12C2"/>
    <w:rsid w:val="00BC179C"/>
    <w:rsid w:val="00BC1B8C"/>
    <w:rsid w:val="00BC3120"/>
    <w:rsid w:val="00BC3283"/>
    <w:rsid w:val="00BC3776"/>
    <w:rsid w:val="00BC40A6"/>
    <w:rsid w:val="00BC4787"/>
    <w:rsid w:val="00BC480D"/>
    <w:rsid w:val="00BC4B45"/>
    <w:rsid w:val="00BC5390"/>
    <w:rsid w:val="00BC564F"/>
    <w:rsid w:val="00BC59A4"/>
    <w:rsid w:val="00BC65E9"/>
    <w:rsid w:val="00BC6879"/>
    <w:rsid w:val="00BC6DBF"/>
    <w:rsid w:val="00BC7220"/>
    <w:rsid w:val="00BD1470"/>
    <w:rsid w:val="00BD14B9"/>
    <w:rsid w:val="00BD1B32"/>
    <w:rsid w:val="00BD2150"/>
    <w:rsid w:val="00BD2433"/>
    <w:rsid w:val="00BD2CE0"/>
    <w:rsid w:val="00BD2D8C"/>
    <w:rsid w:val="00BD3F89"/>
    <w:rsid w:val="00BD42AF"/>
    <w:rsid w:val="00BD4E5C"/>
    <w:rsid w:val="00BD5012"/>
    <w:rsid w:val="00BD5167"/>
    <w:rsid w:val="00BD57B3"/>
    <w:rsid w:val="00BD589C"/>
    <w:rsid w:val="00BD6A6D"/>
    <w:rsid w:val="00BD6E3E"/>
    <w:rsid w:val="00BD7FAC"/>
    <w:rsid w:val="00BE0535"/>
    <w:rsid w:val="00BE1A76"/>
    <w:rsid w:val="00BE240B"/>
    <w:rsid w:val="00BE375F"/>
    <w:rsid w:val="00BE4945"/>
    <w:rsid w:val="00BE5248"/>
    <w:rsid w:val="00BE5B02"/>
    <w:rsid w:val="00BE5CA2"/>
    <w:rsid w:val="00BE60FF"/>
    <w:rsid w:val="00BE7651"/>
    <w:rsid w:val="00BF0B45"/>
    <w:rsid w:val="00BF1371"/>
    <w:rsid w:val="00BF247E"/>
    <w:rsid w:val="00BF396A"/>
    <w:rsid w:val="00BF41FB"/>
    <w:rsid w:val="00BF4426"/>
    <w:rsid w:val="00BF457C"/>
    <w:rsid w:val="00BF524A"/>
    <w:rsid w:val="00BF5363"/>
    <w:rsid w:val="00BF7C51"/>
    <w:rsid w:val="00C000DB"/>
    <w:rsid w:val="00C0040F"/>
    <w:rsid w:val="00C0059E"/>
    <w:rsid w:val="00C01FA1"/>
    <w:rsid w:val="00C02684"/>
    <w:rsid w:val="00C02B12"/>
    <w:rsid w:val="00C02C6D"/>
    <w:rsid w:val="00C02C72"/>
    <w:rsid w:val="00C03FAB"/>
    <w:rsid w:val="00C04E0D"/>
    <w:rsid w:val="00C05801"/>
    <w:rsid w:val="00C06518"/>
    <w:rsid w:val="00C065FF"/>
    <w:rsid w:val="00C06AD1"/>
    <w:rsid w:val="00C06E52"/>
    <w:rsid w:val="00C06F1F"/>
    <w:rsid w:val="00C070BD"/>
    <w:rsid w:val="00C072A6"/>
    <w:rsid w:val="00C078A9"/>
    <w:rsid w:val="00C078F5"/>
    <w:rsid w:val="00C11CCD"/>
    <w:rsid w:val="00C1348E"/>
    <w:rsid w:val="00C13FCB"/>
    <w:rsid w:val="00C1520B"/>
    <w:rsid w:val="00C15A21"/>
    <w:rsid w:val="00C15F7E"/>
    <w:rsid w:val="00C16275"/>
    <w:rsid w:val="00C16319"/>
    <w:rsid w:val="00C16689"/>
    <w:rsid w:val="00C16D86"/>
    <w:rsid w:val="00C175CD"/>
    <w:rsid w:val="00C21A02"/>
    <w:rsid w:val="00C21B24"/>
    <w:rsid w:val="00C22D2D"/>
    <w:rsid w:val="00C239DF"/>
    <w:rsid w:val="00C250D8"/>
    <w:rsid w:val="00C2537C"/>
    <w:rsid w:val="00C26B37"/>
    <w:rsid w:val="00C3138D"/>
    <w:rsid w:val="00C338DE"/>
    <w:rsid w:val="00C33A94"/>
    <w:rsid w:val="00C33FEC"/>
    <w:rsid w:val="00C34CD7"/>
    <w:rsid w:val="00C34E6F"/>
    <w:rsid w:val="00C3563D"/>
    <w:rsid w:val="00C35E5C"/>
    <w:rsid w:val="00C362AB"/>
    <w:rsid w:val="00C402ED"/>
    <w:rsid w:val="00C40830"/>
    <w:rsid w:val="00C42402"/>
    <w:rsid w:val="00C4477D"/>
    <w:rsid w:val="00C45718"/>
    <w:rsid w:val="00C45F73"/>
    <w:rsid w:val="00C4610C"/>
    <w:rsid w:val="00C46E41"/>
    <w:rsid w:val="00C47431"/>
    <w:rsid w:val="00C50A45"/>
    <w:rsid w:val="00C51008"/>
    <w:rsid w:val="00C51489"/>
    <w:rsid w:val="00C515BE"/>
    <w:rsid w:val="00C51851"/>
    <w:rsid w:val="00C521A7"/>
    <w:rsid w:val="00C52E9B"/>
    <w:rsid w:val="00C53187"/>
    <w:rsid w:val="00C53E03"/>
    <w:rsid w:val="00C53E21"/>
    <w:rsid w:val="00C54AE0"/>
    <w:rsid w:val="00C550F2"/>
    <w:rsid w:val="00C55882"/>
    <w:rsid w:val="00C6075C"/>
    <w:rsid w:val="00C61243"/>
    <w:rsid w:val="00C61D39"/>
    <w:rsid w:val="00C61E01"/>
    <w:rsid w:val="00C6415F"/>
    <w:rsid w:val="00C642D6"/>
    <w:rsid w:val="00C646E7"/>
    <w:rsid w:val="00C67BB2"/>
    <w:rsid w:val="00C72A95"/>
    <w:rsid w:val="00C72DF1"/>
    <w:rsid w:val="00C72EFC"/>
    <w:rsid w:val="00C733AE"/>
    <w:rsid w:val="00C73B20"/>
    <w:rsid w:val="00C74783"/>
    <w:rsid w:val="00C75CC7"/>
    <w:rsid w:val="00C760F1"/>
    <w:rsid w:val="00C767AC"/>
    <w:rsid w:val="00C76C64"/>
    <w:rsid w:val="00C805BF"/>
    <w:rsid w:val="00C8120B"/>
    <w:rsid w:val="00C81253"/>
    <w:rsid w:val="00C86A3E"/>
    <w:rsid w:val="00C87B63"/>
    <w:rsid w:val="00C87E95"/>
    <w:rsid w:val="00C90B51"/>
    <w:rsid w:val="00C9189F"/>
    <w:rsid w:val="00C931AD"/>
    <w:rsid w:val="00C937D0"/>
    <w:rsid w:val="00C9398B"/>
    <w:rsid w:val="00C94272"/>
    <w:rsid w:val="00C94E7C"/>
    <w:rsid w:val="00C95E05"/>
    <w:rsid w:val="00C963D0"/>
    <w:rsid w:val="00C96782"/>
    <w:rsid w:val="00C97957"/>
    <w:rsid w:val="00C97D93"/>
    <w:rsid w:val="00CA011E"/>
    <w:rsid w:val="00CA2821"/>
    <w:rsid w:val="00CA2EB8"/>
    <w:rsid w:val="00CA30FB"/>
    <w:rsid w:val="00CA4E70"/>
    <w:rsid w:val="00CA4FD8"/>
    <w:rsid w:val="00CA56B6"/>
    <w:rsid w:val="00CA61FB"/>
    <w:rsid w:val="00CA7BEF"/>
    <w:rsid w:val="00CA7FC5"/>
    <w:rsid w:val="00CB00D0"/>
    <w:rsid w:val="00CB03B3"/>
    <w:rsid w:val="00CB0AED"/>
    <w:rsid w:val="00CB1851"/>
    <w:rsid w:val="00CB24D6"/>
    <w:rsid w:val="00CB291C"/>
    <w:rsid w:val="00CB47C0"/>
    <w:rsid w:val="00CB482A"/>
    <w:rsid w:val="00CB525F"/>
    <w:rsid w:val="00CB618F"/>
    <w:rsid w:val="00CC06F3"/>
    <w:rsid w:val="00CC0A85"/>
    <w:rsid w:val="00CC0B2D"/>
    <w:rsid w:val="00CC1081"/>
    <w:rsid w:val="00CC15AD"/>
    <w:rsid w:val="00CC2449"/>
    <w:rsid w:val="00CC282D"/>
    <w:rsid w:val="00CC3076"/>
    <w:rsid w:val="00CC3751"/>
    <w:rsid w:val="00CC5201"/>
    <w:rsid w:val="00CC5396"/>
    <w:rsid w:val="00CC7506"/>
    <w:rsid w:val="00CD0244"/>
    <w:rsid w:val="00CD08F2"/>
    <w:rsid w:val="00CD0C22"/>
    <w:rsid w:val="00CD1676"/>
    <w:rsid w:val="00CD1946"/>
    <w:rsid w:val="00CD1AA8"/>
    <w:rsid w:val="00CD283D"/>
    <w:rsid w:val="00CD2A9B"/>
    <w:rsid w:val="00CD2E31"/>
    <w:rsid w:val="00CD3264"/>
    <w:rsid w:val="00CD3A15"/>
    <w:rsid w:val="00CD48EF"/>
    <w:rsid w:val="00CD65AB"/>
    <w:rsid w:val="00CD6873"/>
    <w:rsid w:val="00CD7EF2"/>
    <w:rsid w:val="00CE00CE"/>
    <w:rsid w:val="00CE02E0"/>
    <w:rsid w:val="00CE0494"/>
    <w:rsid w:val="00CE0550"/>
    <w:rsid w:val="00CE0AC5"/>
    <w:rsid w:val="00CE10A6"/>
    <w:rsid w:val="00CE12A5"/>
    <w:rsid w:val="00CE22FB"/>
    <w:rsid w:val="00CE2415"/>
    <w:rsid w:val="00CE2C5A"/>
    <w:rsid w:val="00CE2D39"/>
    <w:rsid w:val="00CE32D5"/>
    <w:rsid w:val="00CE3F1D"/>
    <w:rsid w:val="00CE4232"/>
    <w:rsid w:val="00CE4418"/>
    <w:rsid w:val="00CE4584"/>
    <w:rsid w:val="00CE4FE8"/>
    <w:rsid w:val="00CE5D44"/>
    <w:rsid w:val="00CE5EC5"/>
    <w:rsid w:val="00CE647C"/>
    <w:rsid w:val="00CE65D2"/>
    <w:rsid w:val="00CE6DD6"/>
    <w:rsid w:val="00CE715D"/>
    <w:rsid w:val="00CE77E0"/>
    <w:rsid w:val="00CE7DCF"/>
    <w:rsid w:val="00CF031B"/>
    <w:rsid w:val="00CF0D06"/>
    <w:rsid w:val="00CF11B5"/>
    <w:rsid w:val="00CF17AC"/>
    <w:rsid w:val="00CF1E7C"/>
    <w:rsid w:val="00CF257A"/>
    <w:rsid w:val="00CF30D7"/>
    <w:rsid w:val="00CF3CE8"/>
    <w:rsid w:val="00CF481E"/>
    <w:rsid w:val="00CF4BFE"/>
    <w:rsid w:val="00CF5771"/>
    <w:rsid w:val="00CF6294"/>
    <w:rsid w:val="00CF655B"/>
    <w:rsid w:val="00CF6A5F"/>
    <w:rsid w:val="00CF76AE"/>
    <w:rsid w:val="00CF79A4"/>
    <w:rsid w:val="00D0086C"/>
    <w:rsid w:val="00D00CD6"/>
    <w:rsid w:val="00D00FFE"/>
    <w:rsid w:val="00D0127B"/>
    <w:rsid w:val="00D01B76"/>
    <w:rsid w:val="00D02AF4"/>
    <w:rsid w:val="00D03008"/>
    <w:rsid w:val="00D06377"/>
    <w:rsid w:val="00D06819"/>
    <w:rsid w:val="00D06988"/>
    <w:rsid w:val="00D06E3B"/>
    <w:rsid w:val="00D0729A"/>
    <w:rsid w:val="00D074FA"/>
    <w:rsid w:val="00D10EE3"/>
    <w:rsid w:val="00D110DC"/>
    <w:rsid w:val="00D11A15"/>
    <w:rsid w:val="00D124D7"/>
    <w:rsid w:val="00D12C7B"/>
    <w:rsid w:val="00D12D98"/>
    <w:rsid w:val="00D12DFA"/>
    <w:rsid w:val="00D1352C"/>
    <w:rsid w:val="00D146A3"/>
    <w:rsid w:val="00D1497D"/>
    <w:rsid w:val="00D14B32"/>
    <w:rsid w:val="00D14BE4"/>
    <w:rsid w:val="00D15618"/>
    <w:rsid w:val="00D15F70"/>
    <w:rsid w:val="00D163A5"/>
    <w:rsid w:val="00D164C5"/>
    <w:rsid w:val="00D16A6D"/>
    <w:rsid w:val="00D16ECE"/>
    <w:rsid w:val="00D175E4"/>
    <w:rsid w:val="00D176D1"/>
    <w:rsid w:val="00D17B0B"/>
    <w:rsid w:val="00D20D6F"/>
    <w:rsid w:val="00D2129C"/>
    <w:rsid w:val="00D21498"/>
    <w:rsid w:val="00D21CD6"/>
    <w:rsid w:val="00D21D0A"/>
    <w:rsid w:val="00D22083"/>
    <w:rsid w:val="00D22971"/>
    <w:rsid w:val="00D22E47"/>
    <w:rsid w:val="00D22E65"/>
    <w:rsid w:val="00D24061"/>
    <w:rsid w:val="00D2562E"/>
    <w:rsid w:val="00D2583B"/>
    <w:rsid w:val="00D261B2"/>
    <w:rsid w:val="00D26F55"/>
    <w:rsid w:val="00D274DA"/>
    <w:rsid w:val="00D27574"/>
    <w:rsid w:val="00D30516"/>
    <w:rsid w:val="00D30710"/>
    <w:rsid w:val="00D3099B"/>
    <w:rsid w:val="00D32952"/>
    <w:rsid w:val="00D32E5E"/>
    <w:rsid w:val="00D33FEA"/>
    <w:rsid w:val="00D34144"/>
    <w:rsid w:val="00D34656"/>
    <w:rsid w:val="00D34963"/>
    <w:rsid w:val="00D358BC"/>
    <w:rsid w:val="00D36658"/>
    <w:rsid w:val="00D368D7"/>
    <w:rsid w:val="00D36ABA"/>
    <w:rsid w:val="00D37660"/>
    <w:rsid w:val="00D40809"/>
    <w:rsid w:val="00D424BF"/>
    <w:rsid w:val="00D42CA7"/>
    <w:rsid w:val="00D438B4"/>
    <w:rsid w:val="00D43A72"/>
    <w:rsid w:val="00D442EB"/>
    <w:rsid w:val="00D44A9F"/>
    <w:rsid w:val="00D44AE5"/>
    <w:rsid w:val="00D452F5"/>
    <w:rsid w:val="00D45436"/>
    <w:rsid w:val="00D45456"/>
    <w:rsid w:val="00D4572E"/>
    <w:rsid w:val="00D46340"/>
    <w:rsid w:val="00D4718D"/>
    <w:rsid w:val="00D474FD"/>
    <w:rsid w:val="00D512ED"/>
    <w:rsid w:val="00D51D32"/>
    <w:rsid w:val="00D5245D"/>
    <w:rsid w:val="00D52901"/>
    <w:rsid w:val="00D533E5"/>
    <w:rsid w:val="00D539EA"/>
    <w:rsid w:val="00D5430A"/>
    <w:rsid w:val="00D55E14"/>
    <w:rsid w:val="00D5696D"/>
    <w:rsid w:val="00D56AFC"/>
    <w:rsid w:val="00D57197"/>
    <w:rsid w:val="00D572EA"/>
    <w:rsid w:val="00D576C2"/>
    <w:rsid w:val="00D57D9D"/>
    <w:rsid w:val="00D60857"/>
    <w:rsid w:val="00D60903"/>
    <w:rsid w:val="00D60BB9"/>
    <w:rsid w:val="00D61ED3"/>
    <w:rsid w:val="00D627C2"/>
    <w:rsid w:val="00D62FAE"/>
    <w:rsid w:val="00D630C7"/>
    <w:rsid w:val="00D632AE"/>
    <w:rsid w:val="00D63B2A"/>
    <w:rsid w:val="00D64AD2"/>
    <w:rsid w:val="00D64B78"/>
    <w:rsid w:val="00D64FD1"/>
    <w:rsid w:val="00D64FFC"/>
    <w:rsid w:val="00D6530F"/>
    <w:rsid w:val="00D66536"/>
    <w:rsid w:val="00D669A2"/>
    <w:rsid w:val="00D67086"/>
    <w:rsid w:val="00D67AB4"/>
    <w:rsid w:val="00D67FA9"/>
    <w:rsid w:val="00D7054C"/>
    <w:rsid w:val="00D70FBB"/>
    <w:rsid w:val="00D71412"/>
    <w:rsid w:val="00D71702"/>
    <w:rsid w:val="00D729B3"/>
    <w:rsid w:val="00D73C45"/>
    <w:rsid w:val="00D74701"/>
    <w:rsid w:val="00D7491A"/>
    <w:rsid w:val="00D749C5"/>
    <w:rsid w:val="00D754BF"/>
    <w:rsid w:val="00D77652"/>
    <w:rsid w:val="00D77816"/>
    <w:rsid w:val="00D80926"/>
    <w:rsid w:val="00D811A7"/>
    <w:rsid w:val="00D820C2"/>
    <w:rsid w:val="00D822EC"/>
    <w:rsid w:val="00D827AD"/>
    <w:rsid w:val="00D84298"/>
    <w:rsid w:val="00D866AB"/>
    <w:rsid w:val="00D90223"/>
    <w:rsid w:val="00D90F7E"/>
    <w:rsid w:val="00D910C2"/>
    <w:rsid w:val="00D913E9"/>
    <w:rsid w:val="00D92F1A"/>
    <w:rsid w:val="00D9376B"/>
    <w:rsid w:val="00D938BD"/>
    <w:rsid w:val="00D93BA4"/>
    <w:rsid w:val="00D941B8"/>
    <w:rsid w:val="00D941B9"/>
    <w:rsid w:val="00D94DFC"/>
    <w:rsid w:val="00D95B5E"/>
    <w:rsid w:val="00D95CAD"/>
    <w:rsid w:val="00DA02DE"/>
    <w:rsid w:val="00DA133E"/>
    <w:rsid w:val="00DA1D42"/>
    <w:rsid w:val="00DA27A4"/>
    <w:rsid w:val="00DA27E3"/>
    <w:rsid w:val="00DA3719"/>
    <w:rsid w:val="00DA3F63"/>
    <w:rsid w:val="00DA4173"/>
    <w:rsid w:val="00DA4225"/>
    <w:rsid w:val="00DA521D"/>
    <w:rsid w:val="00DA5239"/>
    <w:rsid w:val="00DA6D34"/>
    <w:rsid w:val="00DA7DBC"/>
    <w:rsid w:val="00DA7F63"/>
    <w:rsid w:val="00DB10E6"/>
    <w:rsid w:val="00DB1237"/>
    <w:rsid w:val="00DB1491"/>
    <w:rsid w:val="00DB17BC"/>
    <w:rsid w:val="00DB1F42"/>
    <w:rsid w:val="00DB3B18"/>
    <w:rsid w:val="00DB416D"/>
    <w:rsid w:val="00DB4A34"/>
    <w:rsid w:val="00DB4E6D"/>
    <w:rsid w:val="00DB57F7"/>
    <w:rsid w:val="00DB5865"/>
    <w:rsid w:val="00DB71A7"/>
    <w:rsid w:val="00DB7354"/>
    <w:rsid w:val="00DC0447"/>
    <w:rsid w:val="00DC0667"/>
    <w:rsid w:val="00DC1361"/>
    <w:rsid w:val="00DC1BF3"/>
    <w:rsid w:val="00DC28E8"/>
    <w:rsid w:val="00DC2F34"/>
    <w:rsid w:val="00DC2F44"/>
    <w:rsid w:val="00DC3450"/>
    <w:rsid w:val="00DC4430"/>
    <w:rsid w:val="00DC5805"/>
    <w:rsid w:val="00DC5853"/>
    <w:rsid w:val="00DC5E87"/>
    <w:rsid w:val="00DC64FB"/>
    <w:rsid w:val="00DC7352"/>
    <w:rsid w:val="00DC741C"/>
    <w:rsid w:val="00DC7744"/>
    <w:rsid w:val="00DC7A06"/>
    <w:rsid w:val="00DD0AAF"/>
    <w:rsid w:val="00DD0F65"/>
    <w:rsid w:val="00DD25E7"/>
    <w:rsid w:val="00DD2D3A"/>
    <w:rsid w:val="00DD525F"/>
    <w:rsid w:val="00DD6917"/>
    <w:rsid w:val="00DE04D3"/>
    <w:rsid w:val="00DE1725"/>
    <w:rsid w:val="00DE197B"/>
    <w:rsid w:val="00DE1D60"/>
    <w:rsid w:val="00DE266F"/>
    <w:rsid w:val="00DE3189"/>
    <w:rsid w:val="00DE3727"/>
    <w:rsid w:val="00DE379D"/>
    <w:rsid w:val="00DE4C30"/>
    <w:rsid w:val="00DE4E1B"/>
    <w:rsid w:val="00DF062A"/>
    <w:rsid w:val="00DF0DC8"/>
    <w:rsid w:val="00DF0DFF"/>
    <w:rsid w:val="00DF1912"/>
    <w:rsid w:val="00DF1D53"/>
    <w:rsid w:val="00DF1E51"/>
    <w:rsid w:val="00DF2AB8"/>
    <w:rsid w:val="00DF5337"/>
    <w:rsid w:val="00DF5435"/>
    <w:rsid w:val="00DF5998"/>
    <w:rsid w:val="00DF6925"/>
    <w:rsid w:val="00E002EA"/>
    <w:rsid w:val="00E02A97"/>
    <w:rsid w:val="00E04D77"/>
    <w:rsid w:val="00E054E1"/>
    <w:rsid w:val="00E057F9"/>
    <w:rsid w:val="00E05D1C"/>
    <w:rsid w:val="00E067AD"/>
    <w:rsid w:val="00E067D6"/>
    <w:rsid w:val="00E077D7"/>
    <w:rsid w:val="00E07D4C"/>
    <w:rsid w:val="00E10357"/>
    <w:rsid w:val="00E11BB1"/>
    <w:rsid w:val="00E125B7"/>
    <w:rsid w:val="00E12924"/>
    <w:rsid w:val="00E13D83"/>
    <w:rsid w:val="00E15D38"/>
    <w:rsid w:val="00E17B61"/>
    <w:rsid w:val="00E20A00"/>
    <w:rsid w:val="00E20F63"/>
    <w:rsid w:val="00E216FC"/>
    <w:rsid w:val="00E21B59"/>
    <w:rsid w:val="00E2328E"/>
    <w:rsid w:val="00E23F6E"/>
    <w:rsid w:val="00E25118"/>
    <w:rsid w:val="00E25DCB"/>
    <w:rsid w:val="00E26B3B"/>
    <w:rsid w:val="00E30BA3"/>
    <w:rsid w:val="00E311F6"/>
    <w:rsid w:val="00E312B4"/>
    <w:rsid w:val="00E31441"/>
    <w:rsid w:val="00E315C5"/>
    <w:rsid w:val="00E3233B"/>
    <w:rsid w:val="00E32851"/>
    <w:rsid w:val="00E3472B"/>
    <w:rsid w:val="00E35003"/>
    <w:rsid w:val="00E357A5"/>
    <w:rsid w:val="00E357E5"/>
    <w:rsid w:val="00E3620E"/>
    <w:rsid w:val="00E3686B"/>
    <w:rsid w:val="00E368DC"/>
    <w:rsid w:val="00E3775C"/>
    <w:rsid w:val="00E37EC2"/>
    <w:rsid w:val="00E41B58"/>
    <w:rsid w:val="00E41C7E"/>
    <w:rsid w:val="00E42980"/>
    <w:rsid w:val="00E42EBA"/>
    <w:rsid w:val="00E454DC"/>
    <w:rsid w:val="00E4574D"/>
    <w:rsid w:val="00E45766"/>
    <w:rsid w:val="00E45961"/>
    <w:rsid w:val="00E45C91"/>
    <w:rsid w:val="00E46482"/>
    <w:rsid w:val="00E4649B"/>
    <w:rsid w:val="00E4660E"/>
    <w:rsid w:val="00E478ED"/>
    <w:rsid w:val="00E503A8"/>
    <w:rsid w:val="00E5098C"/>
    <w:rsid w:val="00E50AE7"/>
    <w:rsid w:val="00E50FBF"/>
    <w:rsid w:val="00E51B73"/>
    <w:rsid w:val="00E5236D"/>
    <w:rsid w:val="00E524A5"/>
    <w:rsid w:val="00E556E0"/>
    <w:rsid w:val="00E55AE5"/>
    <w:rsid w:val="00E55BFC"/>
    <w:rsid w:val="00E60247"/>
    <w:rsid w:val="00E61558"/>
    <w:rsid w:val="00E6340B"/>
    <w:rsid w:val="00E63F18"/>
    <w:rsid w:val="00E64207"/>
    <w:rsid w:val="00E6528B"/>
    <w:rsid w:val="00E65D98"/>
    <w:rsid w:val="00E66CE4"/>
    <w:rsid w:val="00E676AC"/>
    <w:rsid w:val="00E6774F"/>
    <w:rsid w:val="00E707B7"/>
    <w:rsid w:val="00E70B9B"/>
    <w:rsid w:val="00E71347"/>
    <w:rsid w:val="00E72AA9"/>
    <w:rsid w:val="00E743F4"/>
    <w:rsid w:val="00E74C58"/>
    <w:rsid w:val="00E74D97"/>
    <w:rsid w:val="00E75735"/>
    <w:rsid w:val="00E758C8"/>
    <w:rsid w:val="00E75B2F"/>
    <w:rsid w:val="00E75C15"/>
    <w:rsid w:val="00E76765"/>
    <w:rsid w:val="00E800D4"/>
    <w:rsid w:val="00E817B7"/>
    <w:rsid w:val="00E8300E"/>
    <w:rsid w:val="00E83B9F"/>
    <w:rsid w:val="00E83CCD"/>
    <w:rsid w:val="00E83CDC"/>
    <w:rsid w:val="00E83DB9"/>
    <w:rsid w:val="00E84E47"/>
    <w:rsid w:val="00E84F6E"/>
    <w:rsid w:val="00E850FE"/>
    <w:rsid w:val="00E8663C"/>
    <w:rsid w:val="00E86C98"/>
    <w:rsid w:val="00E86EDE"/>
    <w:rsid w:val="00E876D2"/>
    <w:rsid w:val="00E87896"/>
    <w:rsid w:val="00E87A86"/>
    <w:rsid w:val="00E87C92"/>
    <w:rsid w:val="00E87EE4"/>
    <w:rsid w:val="00E90709"/>
    <w:rsid w:val="00E91064"/>
    <w:rsid w:val="00E9139B"/>
    <w:rsid w:val="00E91B29"/>
    <w:rsid w:val="00E91C10"/>
    <w:rsid w:val="00E928DC"/>
    <w:rsid w:val="00E93AD9"/>
    <w:rsid w:val="00E95C73"/>
    <w:rsid w:val="00E95D3C"/>
    <w:rsid w:val="00E96E50"/>
    <w:rsid w:val="00E97987"/>
    <w:rsid w:val="00E97DB0"/>
    <w:rsid w:val="00E97F1F"/>
    <w:rsid w:val="00EA02E1"/>
    <w:rsid w:val="00EA035A"/>
    <w:rsid w:val="00EA07AA"/>
    <w:rsid w:val="00EA158D"/>
    <w:rsid w:val="00EA1621"/>
    <w:rsid w:val="00EA18C8"/>
    <w:rsid w:val="00EA1FF6"/>
    <w:rsid w:val="00EA267F"/>
    <w:rsid w:val="00EA3193"/>
    <w:rsid w:val="00EA51DF"/>
    <w:rsid w:val="00EA55B4"/>
    <w:rsid w:val="00EA59FF"/>
    <w:rsid w:val="00EA699D"/>
    <w:rsid w:val="00EB14C7"/>
    <w:rsid w:val="00EB1906"/>
    <w:rsid w:val="00EB36EC"/>
    <w:rsid w:val="00EB3C7D"/>
    <w:rsid w:val="00EB4119"/>
    <w:rsid w:val="00EB489A"/>
    <w:rsid w:val="00EB52D9"/>
    <w:rsid w:val="00EB5E95"/>
    <w:rsid w:val="00EB6A04"/>
    <w:rsid w:val="00EB6D0A"/>
    <w:rsid w:val="00EB75E0"/>
    <w:rsid w:val="00EB7FE1"/>
    <w:rsid w:val="00EC0584"/>
    <w:rsid w:val="00EC078D"/>
    <w:rsid w:val="00EC144B"/>
    <w:rsid w:val="00EC1621"/>
    <w:rsid w:val="00EC2CF9"/>
    <w:rsid w:val="00EC3B85"/>
    <w:rsid w:val="00EC4663"/>
    <w:rsid w:val="00EC5D70"/>
    <w:rsid w:val="00EC62F6"/>
    <w:rsid w:val="00EC70E5"/>
    <w:rsid w:val="00ED04D4"/>
    <w:rsid w:val="00ED1919"/>
    <w:rsid w:val="00ED1FD0"/>
    <w:rsid w:val="00ED218A"/>
    <w:rsid w:val="00ED25B2"/>
    <w:rsid w:val="00ED3623"/>
    <w:rsid w:val="00ED4F0B"/>
    <w:rsid w:val="00EE0074"/>
    <w:rsid w:val="00EE1782"/>
    <w:rsid w:val="00EE1D79"/>
    <w:rsid w:val="00EE3086"/>
    <w:rsid w:val="00EE333D"/>
    <w:rsid w:val="00EE3389"/>
    <w:rsid w:val="00EE33DA"/>
    <w:rsid w:val="00EE396F"/>
    <w:rsid w:val="00EE3C79"/>
    <w:rsid w:val="00EE4D2E"/>
    <w:rsid w:val="00EE4DE0"/>
    <w:rsid w:val="00EE4E2F"/>
    <w:rsid w:val="00EE5120"/>
    <w:rsid w:val="00EE677A"/>
    <w:rsid w:val="00EE68DD"/>
    <w:rsid w:val="00EE76A4"/>
    <w:rsid w:val="00EF0235"/>
    <w:rsid w:val="00EF13B7"/>
    <w:rsid w:val="00EF211C"/>
    <w:rsid w:val="00EF2ADA"/>
    <w:rsid w:val="00EF4B9E"/>
    <w:rsid w:val="00EF4EE8"/>
    <w:rsid w:val="00EF5294"/>
    <w:rsid w:val="00EF662C"/>
    <w:rsid w:val="00EF7295"/>
    <w:rsid w:val="00EF77ED"/>
    <w:rsid w:val="00EF7BEA"/>
    <w:rsid w:val="00EF7C7C"/>
    <w:rsid w:val="00F00232"/>
    <w:rsid w:val="00F00F2E"/>
    <w:rsid w:val="00F00F6D"/>
    <w:rsid w:val="00F01F6B"/>
    <w:rsid w:val="00F02E1C"/>
    <w:rsid w:val="00F035BC"/>
    <w:rsid w:val="00F03602"/>
    <w:rsid w:val="00F0459B"/>
    <w:rsid w:val="00F04899"/>
    <w:rsid w:val="00F05470"/>
    <w:rsid w:val="00F059A8"/>
    <w:rsid w:val="00F06025"/>
    <w:rsid w:val="00F061C4"/>
    <w:rsid w:val="00F06480"/>
    <w:rsid w:val="00F066F3"/>
    <w:rsid w:val="00F06B26"/>
    <w:rsid w:val="00F07024"/>
    <w:rsid w:val="00F10251"/>
    <w:rsid w:val="00F1118F"/>
    <w:rsid w:val="00F11282"/>
    <w:rsid w:val="00F112A0"/>
    <w:rsid w:val="00F12769"/>
    <w:rsid w:val="00F128C6"/>
    <w:rsid w:val="00F12991"/>
    <w:rsid w:val="00F14017"/>
    <w:rsid w:val="00F1567E"/>
    <w:rsid w:val="00F16A38"/>
    <w:rsid w:val="00F176E0"/>
    <w:rsid w:val="00F179D6"/>
    <w:rsid w:val="00F22342"/>
    <w:rsid w:val="00F226E8"/>
    <w:rsid w:val="00F24616"/>
    <w:rsid w:val="00F254F0"/>
    <w:rsid w:val="00F25570"/>
    <w:rsid w:val="00F25C8E"/>
    <w:rsid w:val="00F25FBB"/>
    <w:rsid w:val="00F2635B"/>
    <w:rsid w:val="00F26982"/>
    <w:rsid w:val="00F2699F"/>
    <w:rsid w:val="00F26A48"/>
    <w:rsid w:val="00F26E7D"/>
    <w:rsid w:val="00F279B9"/>
    <w:rsid w:val="00F307A6"/>
    <w:rsid w:val="00F31052"/>
    <w:rsid w:val="00F328B8"/>
    <w:rsid w:val="00F32A4D"/>
    <w:rsid w:val="00F33A35"/>
    <w:rsid w:val="00F33B90"/>
    <w:rsid w:val="00F33F0E"/>
    <w:rsid w:val="00F35569"/>
    <w:rsid w:val="00F3618B"/>
    <w:rsid w:val="00F36A83"/>
    <w:rsid w:val="00F36C4B"/>
    <w:rsid w:val="00F40D2D"/>
    <w:rsid w:val="00F41D75"/>
    <w:rsid w:val="00F42E57"/>
    <w:rsid w:val="00F433AC"/>
    <w:rsid w:val="00F43945"/>
    <w:rsid w:val="00F43B1F"/>
    <w:rsid w:val="00F445C4"/>
    <w:rsid w:val="00F44789"/>
    <w:rsid w:val="00F45181"/>
    <w:rsid w:val="00F46583"/>
    <w:rsid w:val="00F46CD3"/>
    <w:rsid w:val="00F50027"/>
    <w:rsid w:val="00F5100D"/>
    <w:rsid w:val="00F51706"/>
    <w:rsid w:val="00F5277B"/>
    <w:rsid w:val="00F53608"/>
    <w:rsid w:val="00F54059"/>
    <w:rsid w:val="00F5414A"/>
    <w:rsid w:val="00F5529B"/>
    <w:rsid w:val="00F55BD3"/>
    <w:rsid w:val="00F55EC3"/>
    <w:rsid w:val="00F564F0"/>
    <w:rsid w:val="00F56517"/>
    <w:rsid w:val="00F57051"/>
    <w:rsid w:val="00F57C0B"/>
    <w:rsid w:val="00F57F9F"/>
    <w:rsid w:val="00F609AD"/>
    <w:rsid w:val="00F618E4"/>
    <w:rsid w:val="00F6250D"/>
    <w:rsid w:val="00F63431"/>
    <w:rsid w:val="00F638CF"/>
    <w:rsid w:val="00F65C30"/>
    <w:rsid w:val="00F66759"/>
    <w:rsid w:val="00F70683"/>
    <w:rsid w:val="00F70D99"/>
    <w:rsid w:val="00F70E09"/>
    <w:rsid w:val="00F73598"/>
    <w:rsid w:val="00F73FE6"/>
    <w:rsid w:val="00F74E91"/>
    <w:rsid w:val="00F757DB"/>
    <w:rsid w:val="00F75918"/>
    <w:rsid w:val="00F762B2"/>
    <w:rsid w:val="00F76DED"/>
    <w:rsid w:val="00F7747E"/>
    <w:rsid w:val="00F775BC"/>
    <w:rsid w:val="00F77A23"/>
    <w:rsid w:val="00F805E4"/>
    <w:rsid w:val="00F80B2E"/>
    <w:rsid w:val="00F81340"/>
    <w:rsid w:val="00F818BF"/>
    <w:rsid w:val="00F819E7"/>
    <w:rsid w:val="00F823A8"/>
    <w:rsid w:val="00F82F46"/>
    <w:rsid w:val="00F830B0"/>
    <w:rsid w:val="00F83EF9"/>
    <w:rsid w:val="00F846D8"/>
    <w:rsid w:val="00F85FEC"/>
    <w:rsid w:val="00F878A3"/>
    <w:rsid w:val="00F914D2"/>
    <w:rsid w:val="00F92824"/>
    <w:rsid w:val="00F93BEC"/>
    <w:rsid w:val="00F93C60"/>
    <w:rsid w:val="00F944CF"/>
    <w:rsid w:val="00F94A84"/>
    <w:rsid w:val="00F94CD6"/>
    <w:rsid w:val="00F94F44"/>
    <w:rsid w:val="00F96FD0"/>
    <w:rsid w:val="00F97DA6"/>
    <w:rsid w:val="00FA04B7"/>
    <w:rsid w:val="00FA21BC"/>
    <w:rsid w:val="00FA2284"/>
    <w:rsid w:val="00FA2CE0"/>
    <w:rsid w:val="00FA3B6A"/>
    <w:rsid w:val="00FA466F"/>
    <w:rsid w:val="00FA4C2B"/>
    <w:rsid w:val="00FA5CCF"/>
    <w:rsid w:val="00FA5E3B"/>
    <w:rsid w:val="00FA6242"/>
    <w:rsid w:val="00FA6821"/>
    <w:rsid w:val="00FA69E1"/>
    <w:rsid w:val="00FA7092"/>
    <w:rsid w:val="00FA73A5"/>
    <w:rsid w:val="00FA7411"/>
    <w:rsid w:val="00FB01DB"/>
    <w:rsid w:val="00FB1139"/>
    <w:rsid w:val="00FB1C44"/>
    <w:rsid w:val="00FB1C50"/>
    <w:rsid w:val="00FB1D65"/>
    <w:rsid w:val="00FB26E2"/>
    <w:rsid w:val="00FB2E64"/>
    <w:rsid w:val="00FB307C"/>
    <w:rsid w:val="00FB31BE"/>
    <w:rsid w:val="00FB3995"/>
    <w:rsid w:val="00FB4EC0"/>
    <w:rsid w:val="00FB4F7D"/>
    <w:rsid w:val="00FB51DF"/>
    <w:rsid w:val="00FB52AF"/>
    <w:rsid w:val="00FB62C9"/>
    <w:rsid w:val="00FB62D5"/>
    <w:rsid w:val="00FB7497"/>
    <w:rsid w:val="00FB7EEB"/>
    <w:rsid w:val="00FC24B8"/>
    <w:rsid w:val="00FC2E1C"/>
    <w:rsid w:val="00FC341F"/>
    <w:rsid w:val="00FC3591"/>
    <w:rsid w:val="00FC37FF"/>
    <w:rsid w:val="00FC3E74"/>
    <w:rsid w:val="00FC5751"/>
    <w:rsid w:val="00FC6D5F"/>
    <w:rsid w:val="00FC7731"/>
    <w:rsid w:val="00FC7EE9"/>
    <w:rsid w:val="00FD0929"/>
    <w:rsid w:val="00FD0B46"/>
    <w:rsid w:val="00FD0CF5"/>
    <w:rsid w:val="00FD19F6"/>
    <w:rsid w:val="00FD1EA9"/>
    <w:rsid w:val="00FD2EC1"/>
    <w:rsid w:val="00FD2EEF"/>
    <w:rsid w:val="00FD4C3A"/>
    <w:rsid w:val="00FD4EDF"/>
    <w:rsid w:val="00FD55D9"/>
    <w:rsid w:val="00FD59DD"/>
    <w:rsid w:val="00FD725B"/>
    <w:rsid w:val="00FE0B05"/>
    <w:rsid w:val="00FE1054"/>
    <w:rsid w:val="00FE1291"/>
    <w:rsid w:val="00FE1374"/>
    <w:rsid w:val="00FE36C2"/>
    <w:rsid w:val="00FE3ECD"/>
    <w:rsid w:val="00FE4DEF"/>
    <w:rsid w:val="00FE4E89"/>
    <w:rsid w:val="00FE538B"/>
    <w:rsid w:val="00FE5E97"/>
    <w:rsid w:val="00FE65E7"/>
    <w:rsid w:val="00FF052B"/>
    <w:rsid w:val="00FF0715"/>
    <w:rsid w:val="00FF0E1E"/>
    <w:rsid w:val="00FF1006"/>
    <w:rsid w:val="00FF16FF"/>
    <w:rsid w:val="00FF2373"/>
    <w:rsid w:val="00FF306E"/>
    <w:rsid w:val="00FF3430"/>
    <w:rsid w:val="00FF3828"/>
    <w:rsid w:val="00FF3BC0"/>
    <w:rsid w:val="00FF543F"/>
    <w:rsid w:val="00FF670D"/>
    <w:rsid w:val="3CA09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D62D0"/>
  <w15:chartTrackingRefBased/>
  <w15:docId w15:val="{5387F81C-E6EE-427E-86BF-ABEACB8B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tabs>
        <w:tab w:val="left" w:pos="360"/>
        <w:tab w:val="left" w:pos="720"/>
        <w:tab w:val="left" w:pos="1080"/>
        <w:tab w:val="right" w:pos="8280"/>
      </w:tabs>
      <w:ind w:left="360"/>
      <w:outlineLvl w:val="1"/>
    </w:pPr>
    <w:rPr>
      <w:rFonts w:ascii="Arial" w:hAnsi="Arial"/>
      <w:sz w:val="24"/>
    </w:rPr>
  </w:style>
  <w:style w:type="paragraph" w:styleId="Heading3">
    <w:name w:val="heading 3"/>
    <w:basedOn w:val="Normal"/>
    <w:next w:val="Normal"/>
    <w:qFormat/>
    <w:pPr>
      <w:keepNext/>
      <w:spacing w:before="240" w:after="60"/>
      <w:outlineLvl w:val="2"/>
    </w:pPr>
    <w:rPr>
      <w:rFonts w:ascii="Arial" w:hAnsi="Arial"/>
      <w:sz w:val="24"/>
    </w:rPr>
  </w:style>
  <w:style w:type="paragraph" w:styleId="Heading4">
    <w:name w:val="heading 4"/>
    <w:basedOn w:val="Normal"/>
    <w:next w:val="Normal"/>
    <w:qFormat/>
    <w:rsid w:val="00A3699A"/>
    <w:pPr>
      <w:keepNext/>
      <w:spacing w:before="240" w:after="60"/>
      <w:outlineLvl w:val="3"/>
    </w:pPr>
    <w:rPr>
      <w:b/>
      <w:bCs/>
      <w:sz w:val="28"/>
      <w:szCs w:val="28"/>
    </w:rPr>
  </w:style>
  <w:style w:type="paragraph" w:styleId="Heading5">
    <w:name w:val="heading 5"/>
    <w:basedOn w:val="Normal"/>
    <w:next w:val="Normal"/>
    <w:qFormat/>
    <w:rsid w:val="00A3699A"/>
    <w:pPr>
      <w:keepNext/>
      <w:jc w:val="center"/>
      <w:outlineLvl w:val="4"/>
    </w:pPr>
    <w:rPr>
      <w:rFonts w:ascii="Arial" w:hAnsi="Arial" w:cs="Arial"/>
      <w:b/>
      <w:bCs/>
      <w:sz w:val="24"/>
    </w:rPr>
  </w:style>
  <w:style w:type="paragraph" w:styleId="Heading6">
    <w:name w:val="heading 6"/>
    <w:basedOn w:val="Normal"/>
    <w:next w:val="Normal"/>
    <w:qFormat/>
    <w:rsid w:val="00A3699A"/>
    <w:pPr>
      <w:keepNext/>
      <w:jc w:val="both"/>
      <w:outlineLvl w:val="5"/>
    </w:pPr>
    <w:rPr>
      <w:rFonts w:ascii="Arial" w:hAnsi="Arial" w:cs="Arial"/>
      <w:sz w:val="24"/>
    </w:rPr>
  </w:style>
  <w:style w:type="paragraph" w:styleId="Heading7">
    <w:name w:val="heading 7"/>
    <w:basedOn w:val="Normal"/>
    <w:next w:val="Normal"/>
    <w:qFormat/>
    <w:rsid w:val="00A3699A"/>
    <w:pPr>
      <w:keepNext/>
      <w:jc w:val="center"/>
      <w:outlineLvl w:val="6"/>
    </w:pPr>
    <w:rPr>
      <w:rFonts w:ascii="Arial" w:hAnsi="Arial" w:cs="Arial"/>
      <w:sz w:val="24"/>
    </w:rPr>
  </w:style>
  <w:style w:type="paragraph" w:styleId="Heading8">
    <w:name w:val="heading 8"/>
    <w:basedOn w:val="Normal"/>
    <w:next w:val="Normal"/>
    <w:qFormat/>
    <w:rsid w:val="00A3699A"/>
    <w:pPr>
      <w:spacing w:before="240" w:after="60"/>
      <w:outlineLvl w:val="7"/>
    </w:pPr>
    <w:rPr>
      <w:i/>
      <w:iCs/>
      <w:sz w:val="24"/>
      <w:szCs w:val="24"/>
    </w:rPr>
  </w:style>
  <w:style w:type="paragraph" w:styleId="Heading9">
    <w:name w:val="heading 9"/>
    <w:basedOn w:val="Normal"/>
    <w:next w:val="Normal"/>
    <w:qFormat/>
    <w:rsid w:val="00A3699A"/>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sz w:val="24"/>
    </w:rPr>
  </w:style>
  <w:style w:type="paragraph" w:styleId="BodyTextIndent2">
    <w:name w:val="Body Text Indent 2"/>
    <w:basedOn w:val="Normal"/>
    <w:pPr>
      <w:ind w:left="720" w:hanging="720"/>
      <w:jc w:val="both"/>
    </w:pPr>
    <w:rPr>
      <w:rFonts w:ascii="Arial" w:hAnsi="Arial"/>
      <w:sz w:val="24"/>
    </w:rPr>
  </w:style>
  <w:style w:type="character" w:styleId="CommentReference">
    <w:name w:val="annotation reference"/>
    <w:rPr>
      <w:sz w:val="16"/>
    </w:rPr>
  </w:style>
  <w:style w:type="paragraph" w:styleId="CommentText">
    <w:name w:val="annotation text"/>
    <w:basedOn w:val="Normal"/>
    <w:link w:val="CommentTextChar"/>
    <w:uiPriority w:val="99"/>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rsid w:val="00A3699A"/>
    <w:pPr>
      <w:spacing w:after="120"/>
    </w:pPr>
  </w:style>
  <w:style w:type="paragraph" w:styleId="FootnoteText">
    <w:name w:val="footnote text"/>
    <w:basedOn w:val="Normal"/>
    <w:link w:val="FootnoteTextChar"/>
    <w:uiPriority w:val="99"/>
    <w:semiHidden/>
    <w:rsid w:val="00A3699A"/>
  </w:style>
  <w:style w:type="character" w:styleId="FootnoteReference">
    <w:name w:val="footnote reference"/>
    <w:semiHidden/>
    <w:rsid w:val="00A3699A"/>
    <w:rPr>
      <w:vertAlign w:val="superscript"/>
    </w:rPr>
  </w:style>
  <w:style w:type="paragraph" w:styleId="BodyText2">
    <w:name w:val="Body Text 2"/>
    <w:basedOn w:val="Normal"/>
    <w:rsid w:val="00A3699A"/>
    <w:pPr>
      <w:spacing w:after="120" w:line="480" w:lineRule="auto"/>
    </w:pPr>
  </w:style>
  <w:style w:type="paragraph" w:styleId="BodyText3">
    <w:name w:val="Body Text 3"/>
    <w:basedOn w:val="Normal"/>
    <w:rsid w:val="00A3699A"/>
    <w:pPr>
      <w:spacing w:after="120"/>
    </w:pPr>
    <w:rPr>
      <w:sz w:val="16"/>
      <w:szCs w:val="16"/>
    </w:rPr>
  </w:style>
  <w:style w:type="paragraph" w:styleId="Subtitle">
    <w:name w:val="Subtitle"/>
    <w:basedOn w:val="Normal"/>
    <w:qFormat/>
    <w:rsid w:val="00A3699A"/>
    <w:pPr>
      <w:jc w:val="center"/>
    </w:pPr>
    <w:rPr>
      <w:rFonts w:ascii="Bookman Old Style" w:hAnsi="Bookman Old Style"/>
      <w:sz w:val="28"/>
    </w:rPr>
  </w:style>
  <w:style w:type="paragraph" w:styleId="BlockText">
    <w:name w:val="Block Text"/>
    <w:basedOn w:val="Normal"/>
    <w:rsid w:val="00A3699A"/>
    <w:pPr>
      <w:ind w:left="540" w:right="720"/>
    </w:pPr>
    <w:rPr>
      <w:b/>
      <w:i/>
      <w:iCs/>
      <w:sz w:val="24"/>
      <w:szCs w:val="24"/>
    </w:rPr>
  </w:style>
  <w:style w:type="paragraph" w:styleId="Title">
    <w:name w:val="Title"/>
    <w:basedOn w:val="Normal"/>
    <w:qFormat/>
    <w:rsid w:val="00A3699A"/>
    <w:pPr>
      <w:jc w:val="center"/>
    </w:pPr>
    <w:rPr>
      <w:rFonts w:ascii="Century Gothic" w:hAnsi="Century Gothic"/>
      <w:sz w:val="28"/>
      <w:szCs w:val="24"/>
    </w:rPr>
  </w:style>
  <w:style w:type="paragraph" w:styleId="BalloonText">
    <w:name w:val="Balloon Text"/>
    <w:basedOn w:val="Normal"/>
    <w:semiHidden/>
    <w:rsid w:val="00573E0C"/>
    <w:rPr>
      <w:rFonts w:ascii="Tahoma" w:hAnsi="Tahoma" w:cs="Tahoma"/>
      <w:sz w:val="16"/>
      <w:szCs w:val="16"/>
    </w:rPr>
  </w:style>
  <w:style w:type="table" w:styleId="TableGrid">
    <w:name w:val="Table Grid"/>
    <w:basedOn w:val="TableNormal"/>
    <w:rsid w:val="00A77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A26199"/>
    <w:rPr>
      <w:b/>
      <w:bCs/>
    </w:rPr>
  </w:style>
  <w:style w:type="paragraph" w:styleId="Revision">
    <w:name w:val="Revision"/>
    <w:hidden/>
    <w:uiPriority w:val="99"/>
    <w:semiHidden/>
    <w:rsid w:val="005D0EFD"/>
  </w:style>
  <w:style w:type="paragraph" w:styleId="ListParagraph">
    <w:name w:val="List Paragraph"/>
    <w:basedOn w:val="Normal"/>
    <w:uiPriority w:val="34"/>
    <w:qFormat/>
    <w:rsid w:val="00412B59"/>
    <w:pPr>
      <w:spacing w:after="200" w:line="276" w:lineRule="auto"/>
      <w:ind w:left="720"/>
      <w:contextualSpacing/>
    </w:pPr>
    <w:rPr>
      <w:rFonts w:ascii="Calibri" w:eastAsia="Calibri" w:hAnsi="Calibri"/>
      <w:sz w:val="22"/>
      <w:szCs w:val="22"/>
    </w:rPr>
  </w:style>
  <w:style w:type="character" w:customStyle="1" w:styleId="HeaderChar">
    <w:name w:val="Header Char"/>
    <w:basedOn w:val="DefaultParagraphFont"/>
    <w:link w:val="Header"/>
    <w:rsid w:val="00E6774F"/>
  </w:style>
  <w:style w:type="character" w:customStyle="1" w:styleId="FooterChar">
    <w:name w:val="Footer Char"/>
    <w:basedOn w:val="DefaultParagraphFont"/>
    <w:link w:val="Footer"/>
    <w:uiPriority w:val="99"/>
    <w:rsid w:val="00C805BF"/>
  </w:style>
  <w:style w:type="paragraph" w:customStyle="1" w:styleId="Default">
    <w:name w:val="Default"/>
    <w:rsid w:val="005654C7"/>
    <w:pPr>
      <w:autoSpaceDE w:val="0"/>
      <w:autoSpaceDN w:val="0"/>
      <w:adjustRightInd w:val="0"/>
    </w:pPr>
    <w:rPr>
      <w:rFonts w:ascii="Arial" w:hAnsi="Arial" w:cs="Arial"/>
      <w:color w:val="000000"/>
      <w:sz w:val="24"/>
      <w:szCs w:val="24"/>
    </w:rPr>
  </w:style>
  <w:style w:type="paragraph" w:styleId="NoSpacing">
    <w:name w:val="No Spacing"/>
    <w:uiPriority w:val="1"/>
    <w:qFormat/>
    <w:rsid w:val="003B0C7A"/>
    <w:rPr>
      <w:rFonts w:ascii="Calibri" w:eastAsia="Calibri" w:hAnsi="Calibri"/>
      <w:sz w:val="22"/>
      <w:szCs w:val="22"/>
    </w:rPr>
  </w:style>
  <w:style w:type="character" w:customStyle="1" w:styleId="FootnoteTextChar">
    <w:name w:val="Footnote Text Char"/>
    <w:link w:val="FootnoteText"/>
    <w:uiPriority w:val="99"/>
    <w:semiHidden/>
    <w:rsid w:val="000F53AC"/>
  </w:style>
  <w:style w:type="character" w:styleId="Hyperlink">
    <w:name w:val="Hyperlink"/>
    <w:rsid w:val="00942B16"/>
    <w:rPr>
      <w:color w:val="0563C1"/>
      <w:u w:val="single"/>
    </w:rPr>
  </w:style>
  <w:style w:type="character" w:customStyle="1" w:styleId="CommentTextChar">
    <w:name w:val="Comment Text Char"/>
    <w:link w:val="CommentText"/>
    <w:uiPriority w:val="99"/>
    <w:rsid w:val="00C52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365">
      <w:bodyDiv w:val="1"/>
      <w:marLeft w:val="0"/>
      <w:marRight w:val="0"/>
      <w:marTop w:val="0"/>
      <w:marBottom w:val="0"/>
      <w:divBdr>
        <w:top w:val="none" w:sz="0" w:space="0" w:color="auto"/>
        <w:left w:val="none" w:sz="0" w:space="0" w:color="auto"/>
        <w:bottom w:val="none" w:sz="0" w:space="0" w:color="auto"/>
        <w:right w:val="none" w:sz="0" w:space="0" w:color="auto"/>
      </w:divBdr>
    </w:div>
    <w:div w:id="231045463">
      <w:bodyDiv w:val="1"/>
      <w:marLeft w:val="0"/>
      <w:marRight w:val="0"/>
      <w:marTop w:val="0"/>
      <w:marBottom w:val="0"/>
      <w:divBdr>
        <w:top w:val="none" w:sz="0" w:space="0" w:color="auto"/>
        <w:left w:val="none" w:sz="0" w:space="0" w:color="auto"/>
        <w:bottom w:val="none" w:sz="0" w:space="0" w:color="auto"/>
        <w:right w:val="none" w:sz="0" w:space="0" w:color="auto"/>
      </w:divBdr>
    </w:div>
    <w:div w:id="505051931">
      <w:bodyDiv w:val="1"/>
      <w:marLeft w:val="0"/>
      <w:marRight w:val="0"/>
      <w:marTop w:val="0"/>
      <w:marBottom w:val="0"/>
      <w:divBdr>
        <w:top w:val="none" w:sz="0" w:space="0" w:color="auto"/>
        <w:left w:val="none" w:sz="0" w:space="0" w:color="auto"/>
        <w:bottom w:val="none" w:sz="0" w:space="0" w:color="auto"/>
        <w:right w:val="none" w:sz="0" w:space="0" w:color="auto"/>
      </w:divBdr>
    </w:div>
    <w:div w:id="1114397082">
      <w:bodyDiv w:val="1"/>
      <w:marLeft w:val="0"/>
      <w:marRight w:val="0"/>
      <w:marTop w:val="0"/>
      <w:marBottom w:val="0"/>
      <w:divBdr>
        <w:top w:val="none" w:sz="0" w:space="0" w:color="auto"/>
        <w:left w:val="none" w:sz="0" w:space="0" w:color="auto"/>
        <w:bottom w:val="none" w:sz="0" w:space="0" w:color="auto"/>
        <w:right w:val="none" w:sz="0" w:space="0" w:color="auto"/>
      </w:divBdr>
    </w:div>
    <w:div w:id="1192957704">
      <w:bodyDiv w:val="1"/>
      <w:marLeft w:val="0"/>
      <w:marRight w:val="0"/>
      <w:marTop w:val="0"/>
      <w:marBottom w:val="0"/>
      <w:divBdr>
        <w:top w:val="none" w:sz="0" w:space="0" w:color="auto"/>
        <w:left w:val="none" w:sz="0" w:space="0" w:color="auto"/>
        <w:bottom w:val="none" w:sz="0" w:space="0" w:color="auto"/>
        <w:right w:val="none" w:sz="0" w:space="0" w:color="auto"/>
      </w:divBdr>
    </w:div>
    <w:div w:id="204297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2023-07-18T07:00:00+00:00</Preparer_x0020_Date>
    <Sort_x0020_ID xmlns="5d7c6fc3-6df9-4862-9b74-f722e9640966">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 xsi:nil="true"/>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1" ma:contentTypeDescription="Create a new document." ma:contentTypeScope="" ma:versionID="cb3a08a9f3649a77b92aac48c6863978">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b9f0c8e2ca7737dac391098144ff8909"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E6B22D-C856-4AA9-9935-67F6436C5F01}">
  <ds:schemaRefs>
    <ds:schemaRef ds:uri="http://schemas.openxmlformats.org/officeDocument/2006/bibliography"/>
  </ds:schemaRefs>
</ds:datastoreItem>
</file>

<file path=customXml/itemProps2.xml><?xml version="1.0" encoding="utf-8"?>
<ds:datastoreItem xmlns:ds="http://schemas.openxmlformats.org/officeDocument/2006/customXml" ds:itemID="{CBB4F099-C799-4D05-AD63-6983025E3293}">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899D072E-1B6C-49D7-BB54-FFCBC89AF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A45BBF-7B4B-41CA-A3FC-3F1069E22C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13</Pages>
  <Words>4672</Words>
  <Characters>27047</Characters>
  <Application>Microsoft Office Word</Application>
  <DocSecurity>0</DocSecurity>
  <Lines>225</Lines>
  <Paragraphs>63</Paragraphs>
  <ScaleCrop>false</ScaleCrop>
  <Company/>
  <LinksUpToDate>false</LinksUpToDate>
  <CharactersWithSpaces>31656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Stelpstra, Michael</dc:creator>
  <cp:keywords/>
  <dc:description/>
  <cp:lastModifiedBy>Carla Wall</cp:lastModifiedBy>
  <cp:revision>245</cp:revision>
  <dcterms:created xsi:type="dcterms:W3CDTF">2014-07-11T22:49:00Z</dcterms:created>
  <dcterms:modified xsi:type="dcterms:W3CDTF">2023-07-19T21:05:00Z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Report Section">
    <vt:r8>1.1</vt:r8>
  </property>
  <property fmtid="{D5CDD505-2E9C-101B-9397-08002B2CF9AE}" pid="4" name="MediaServiceImageTags">
    <vt:lpwstr/>
  </property>
</Properties>
</file>